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749A78">
      <w:pPr>
        <w:pStyle w:val="91"/>
        <w:tabs>
          <w:tab w:val="right" w:pos="9639"/>
        </w:tabs>
        <w:spacing w:after="0"/>
        <w:rPr>
          <w:rFonts w:eastAsia="宋体"/>
          <w:b/>
          <w:sz w:val="28"/>
          <w:lang w:val="en-US" w:eastAsia="zh-CN"/>
        </w:rPr>
      </w:pPr>
      <w:r>
        <w:rPr>
          <w:b/>
          <w:sz w:val="24"/>
        </w:rPr>
        <w:t>3GPP TSG-RAN WG3 Meeting #127</w:t>
      </w:r>
      <w:r>
        <w:rPr>
          <w:rFonts w:hint="eastAsia" w:eastAsia="宋体"/>
          <w:b/>
          <w:sz w:val="24"/>
          <w:lang w:val="en-US" w:eastAsia="zh-CN"/>
        </w:rPr>
        <w:t>bis</w:t>
      </w:r>
      <w:r>
        <w:rPr>
          <w:b/>
          <w:i/>
          <w:sz w:val="28"/>
        </w:rPr>
        <w:tab/>
      </w:r>
      <w:r>
        <w:rPr>
          <w:rFonts w:hint="eastAsia"/>
          <w:b/>
          <w:i/>
          <w:sz w:val="28"/>
        </w:rPr>
        <w:t>R3-251769</w:t>
      </w:r>
    </w:p>
    <w:p w14:paraId="70569BD2">
      <w:pPr>
        <w:pStyle w:val="36"/>
        <w:rPr>
          <w:rFonts w:eastAsia="Yu Mincho"/>
          <w:bCs/>
          <w:sz w:val="24"/>
        </w:rPr>
      </w:pPr>
      <w:r>
        <w:rPr>
          <w:rFonts w:hint="eastAsia"/>
          <w:sz w:val="24"/>
          <w:lang w:val="en-US" w:eastAsia="zh-CN"/>
        </w:rPr>
        <w:t>Wuhan</w:t>
      </w:r>
      <w:r>
        <w:rPr>
          <w:rFonts w:eastAsia="MS Mincho"/>
          <w:sz w:val="24"/>
          <w:lang w:eastAsia="en-US"/>
        </w:rPr>
        <w:t xml:space="preserve">, </w:t>
      </w:r>
      <w:r>
        <w:rPr>
          <w:rFonts w:hint="eastAsia"/>
          <w:sz w:val="24"/>
          <w:lang w:val="en-US" w:eastAsia="zh-CN"/>
        </w:rPr>
        <w:t>China</w:t>
      </w:r>
      <w:r>
        <w:rPr>
          <w:rFonts w:eastAsia="MS Mincho"/>
          <w:sz w:val="24"/>
          <w:lang w:eastAsia="en-US"/>
        </w:rPr>
        <w:t xml:space="preserve">, 7 – </w:t>
      </w:r>
      <w:r>
        <w:rPr>
          <w:rFonts w:hint="eastAsia"/>
          <w:sz w:val="24"/>
          <w:lang w:val="en-US" w:eastAsia="zh-CN"/>
        </w:rPr>
        <w:t>11</w:t>
      </w:r>
      <w:r>
        <w:rPr>
          <w:rFonts w:eastAsia="MS Mincho"/>
          <w:sz w:val="24"/>
          <w:lang w:eastAsia="en-US"/>
        </w:rPr>
        <w:t xml:space="preserve"> </w:t>
      </w:r>
      <w:r>
        <w:rPr>
          <w:rFonts w:hint="eastAsia"/>
          <w:sz w:val="24"/>
          <w:lang w:val="en-US" w:eastAsia="zh-CN"/>
        </w:rPr>
        <w:t xml:space="preserve">April </w:t>
      </w:r>
      <w:r>
        <w:rPr>
          <w:rFonts w:eastAsia="MS Mincho"/>
          <w:sz w:val="24"/>
          <w:lang w:eastAsia="en-US"/>
        </w:rPr>
        <w:t>2025</w:t>
      </w:r>
      <w:r>
        <w:rPr>
          <w:rFonts w:eastAsia="MS Mincho"/>
          <w:sz w:val="24"/>
          <w:lang w:eastAsia="en-US"/>
        </w:rPr>
        <w:cr/>
      </w:r>
    </w:p>
    <w:p w14:paraId="45A4CA44">
      <w:pPr>
        <w:pStyle w:val="91"/>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20.2</w:t>
      </w:r>
    </w:p>
    <w:p w14:paraId="5DF059A9">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68AC82C2">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hAnsi="Arial" w:cs="Arial"/>
          <w:b/>
          <w:bCs/>
          <w:sz w:val="24"/>
        </w:rPr>
        <w:t>Support of gNB-side model (case 3a)</w:t>
      </w:r>
    </w:p>
    <w:p w14:paraId="3D21289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Other</w:t>
      </w:r>
    </w:p>
    <w:p w14:paraId="3C1DFF38">
      <w:pPr>
        <w:pStyle w:val="2"/>
      </w:pPr>
      <w:r>
        <w:t>1</w:t>
      </w:r>
      <w:r>
        <w:tab/>
      </w:r>
      <w:r>
        <w:t>Introduction</w:t>
      </w:r>
    </w:p>
    <w:p w14:paraId="65D4D830">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lang w:eastAsia="zh-CN"/>
        </w:rPr>
        <w:t xml:space="preserve">In this contribution, we’d like to </w:t>
      </w:r>
      <w:r>
        <w:rPr>
          <w:rFonts w:hint="eastAsia" w:eastAsiaTheme="minorEastAsia"/>
          <w:lang w:val="en-US" w:eastAsia="zh-CN"/>
        </w:rPr>
        <w:t xml:space="preserve">further </w:t>
      </w:r>
      <w:r>
        <w:rPr>
          <w:rFonts w:eastAsiaTheme="minorEastAsia"/>
          <w:lang w:eastAsia="zh-CN"/>
        </w:rPr>
        <w:t xml:space="preserve">discuss the </w:t>
      </w:r>
      <w:r>
        <w:rPr>
          <w:rFonts w:hint="eastAsia" w:eastAsiaTheme="minorEastAsia"/>
          <w:lang w:eastAsia="zh-CN"/>
        </w:rPr>
        <w:t xml:space="preserve">data collection </w:t>
      </w:r>
      <w:r>
        <w:rPr>
          <w:rFonts w:hint="eastAsia" w:eastAsiaTheme="minorEastAsia"/>
          <w:lang w:val="en-US" w:eastAsia="zh-CN"/>
        </w:rPr>
        <w:t>for case 3a</w:t>
      </w:r>
      <w:r>
        <w:rPr>
          <w:rFonts w:hint="eastAsia" w:eastAsiaTheme="minorEastAsia"/>
          <w:lang w:eastAsia="zh-CN"/>
        </w:rPr>
        <w:t xml:space="preserve"> </w:t>
      </w:r>
      <w:r>
        <w:rPr>
          <w:rFonts w:hint="eastAsia" w:eastAsiaTheme="minorEastAsia"/>
          <w:lang w:val="en-US" w:eastAsia="zh-CN"/>
        </w:rPr>
        <w:t>according to the following RAN3 progress</w:t>
      </w:r>
      <w:r>
        <w:rPr>
          <w:rFonts w:hint="eastAsia" w:eastAsiaTheme="minorEastAsia"/>
          <w:lang w:eastAsia="zh-CN"/>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5D62C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3176A944">
            <w:pPr>
              <w:widowControl w:val="0"/>
              <w:ind w:left="144" w:hanging="144"/>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Case 3a:</w:t>
            </w:r>
          </w:p>
          <w:p w14:paraId="30486AE6">
            <w:p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The AI/ML model (inference and training functions) is at the gNB.</w:t>
            </w:r>
          </w:p>
          <w:p w14:paraId="6539C12F">
            <w:pPr>
              <w:pStyle w:val="162"/>
              <w:ind w:left="0"/>
              <w:rPr>
                <w:rFonts w:ascii="Calibri" w:hAnsi="Calibri" w:eastAsia="MS Mincho" w:cs="Calibri"/>
                <w:i/>
                <w:iCs/>
                <w:color w:val="00B050"/>
                <w:kern w:val="2"/>
                <w:sz w:val="16"/>
                <w:szCs w:val="16"/>
              </w:rPr>
            </w:pPr>
            <w:bookmarkStart w:id="0" w:name="_Hlk181812165"/>
            <w:r>
              <w:rPr>
                <w:rFonts w:ascii="Calibri" w:hAnsi="Calibri" w:eastAsia="MS Mincho" w:cs="Calibri"/>
                <w:i/>
                <w:iCs/>
                <w:color w:val="00B050"/>
                <w:kern w:val="2"/>
                <w:sz w:val="16"/>
                <w:szCs w:val="16"/>
              </w:rPr>
              <w:t xml:space="preserve">LMF provides ground truth label and related data (i.e., part B information as called by RAN1) to NG-RAN. </w:t>
            </w:r>
            <w:bookmarkEnd w:id="0"/>
          </w:p>
          <w:p w14:paraId="73B51AC9">
            <w:pPr>
              <w:pStyle w:val="162"/>
              <w:ind w:left="0"/>
              <w:rPr>
                <w:rFonts w:ascii="Calibri" w:hAnsi="Calibri" w:cs="Calibri"/>
                <w:i/>
                <w:color w:val="FF0000"/>
                <w:sz w:val="16"/>
                <w:szCs w:val="16"/>
                <w:lang w:eastAsia="en-US"/>
              </w:rPr>
            </w:pPr>
            <w:r>
              <w:rPr>
                <w:rFonts w:ascii="Calibri" w:hAnsi="Calibri" w:cs="Calibri"/>
                <w:i/>
                <w:color w:val="FF0000"/>
                <w:sz w:val="16"/>
                <w:szCs w:val="16"/>
                <w:lang w:eastAsia="en-US"/>
              </w:rPr>
              <w:t xml:space="preserve">FFS on the content of the ground truth label and related data pending on RAN1 progress. FFS on the signalling design. </w:t>
            </w:r>
          </w:p>
          <w:p w14:paraId="05D194BF">
            <w:pPr>
              <w:pStyle w:val="162"/>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How the LMF obtains the ground truth label and related data information is outside of RAN3 scope.</w:t>
            </w:r>
          </w:p>
          <w:p w14:paraId="54442373">
            <w:pPr>
              <w:pStyle w:val="162"/>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 xml:space="preserve">NG-RAN obtains measurements from TRP (i.e., part A information as called by RAN1). </w:t>
            </w:r>
          </w:p>
          <w:p w14:paraId="5510D83B">
            <w:pPr>
              <w:pStyle w:val="162"/>
              <w:ind w:left="0"/>
              <w:rPr>
                <w:rFonts w:ascii="Calibri" w:hAnsi="Calibri" w:cs="Calibri"/>
                <w:i/>
                <w:color w:val="FF0000"/>
                <w:sz w:val="16"/>
                <w:szCs w:val="16"/>
                <w:lang w:eastAsia="en-US"/>
              </w:rPr>
            </w:pPr>
            <w:r>
              <w:rPr>
                <w:rFonts w:ascii="Calibri" w:hAnsi="Calibri" w:cs="Calibri"/>
                <w:i/>
                <w:color w:val="FF0000"/>
                <w:sz w:val="16"/>
                <w:szCs w:val="16"/>
                <w:lang w:eastAsia="en-US"/>
              </w:rPr>
              <w:t>The details of the measurements are still pending and subject to further discussion in RAN1.</w:t>
            </w:r>
          </w:p>
          <w:p w14:paraId="02442707">
            <w:pPr>
              <w:pStyle w:val="162"/>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WA: RAN3 will proceed with Option A: NG-RAN node performs monitoring metric calculation for its own model.</w:t>
            </w:r>
          </w:p>
          <w:p w14:paraId="0B99F7FC">
            <w:pPr>
              <w:pStyle w:val="162"/>
              <w:ind w:left="0"/>
              <w:rPr>
                <w:rFonts w:ascii="Calibri" w:hAnsi="Calibri" w:cs="Calibri" w:eastAsiaTheme="minorEastAsia"/>
                <w:i/>
                <w:iCs/>
                <w:color w:val="00B050"/>
                <w:kern w:val="2"/>
                <w:sz w:val="16"/>
                <w:szCs w:val="16"/>
              </w:rPr>
            </w:pPr>
          </w:p>
          <w:p w14:paraId="2CCB3A1E">
            <w:pPr>
              <w:pStyle w:val="162"/>
              <w:ind w:left="0"/>
              <w:rPr>
                <w:rFonts w:ascii="Calibri" w:hAnsi="Calibri" w:cs="Calibri" w:eastAsiaTheme="minorEastAsia"/>
                <w:i/>
                <w:iCs/>
                <w:color w:val="00B050"/>
                <w:kern w:val="2"/>
                <w:sz w:val="16"/>
                <w:szCs w:val="16"/>
              </w:rPr>
            </w:pPr>
            <w:r>
              <w:rPr>
                <w:rFonts w:hint="eastAsia" w:ascii="Calibri" w:hAnsi="Calibri" w:cs="Calibri" w:eastAsiaTheme="minorEastAsia"/>
                <w:i/>
                <w:iCs/>
                <w:color w:val="FF0000"/>
                <w:kern w:val="2"/>
                <w:sz w:val="16"/>
                <w:szCs w:val="16"/>
              </w:rPr>
              <w:t>R</w:t>
            </w:r>
            <w:r>
              <w:rPr>
                <w:rFonts w:ascii="Calibri" w:hAnsi="Calibri" w:cs="Calibri" w:eastAsiaTheme="minorEastAsia"/>
                <w:i/>
                <w:iCs/>
                <w:color w:val="FF0000"/>
                <w:kern w:val="2"/>
                <w:sz w:val="16"/>
                <w:szCs w:val="16"/>
              </w:rPr>
              <w:t>AN3#126</w:t>
            </w:r>
          </w:p>
          <w:p w14:paraId="0B816AE2">
            <w:pPr>
              <w:pStyle w:val="162"/>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Turn WA to agreement: RAN3 will proceed with Option A: NG-RAN node performs monitoring metric calculation for its own model.</w:t>
            </w:r>
          </w:p>
          <w:p w14:paraId="7EEE0A18">
            <w:pPr>
              <w:pStyle w:val="162"/>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Signalling of measurements as the inference output for case 3a can re-use the existing procedures for positioning measurement specified over NRPPa.</w:t>
            </w:r>
          </w:p>
          <w:p w14:paraId="0D0646CD">
            <w:pPr>
              <w:pStyle w:val="162"/>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WA: The LMF starts a NRPPa transaction. The gNB determines that data collection is needed.</w:t>
            </w:r>
          </w:p>
          <w:p w14:paraId="44D6DCF2">
            <w:pPr>
              <w:pStyle w:val="162"/>
              <w:ind w:left="0"/>
              <w:rPr>
                <w:rFonts w:ascii="Calibri" w:hAnsi="Calibri" w:cs="Calibri"/>
                <w:i/>
                <w:color w:val="FF0000"/>
                <w:sz w:val="16"/>
                <w:szCs w:val="16"/>
                <w:lang w:eastAsia="en-US"/>
              </w:rPr>
            </w:pPr>
            <w:r>
              <w:rPr>
                <w:rFonts w:ascii="Calibri" w:hAnsi="Calibri" w:cs="Calibri"/>
                <w:i/>
                <w:color w:val="FF0000"/>
                <w:sz w:val="16"/>
                <w:szCs w:val="16"/>
                <w:lang w:eastAsia="en-US"/>
              </w:rPr>
              <w:t xml:space="preserve">FFS how the gNB requests the LMF and whether this request triggers positioning for the UE being requested for part B information (as defined by RAN1). </w:t>
            </w:r>
          </w:p>
          <w:p w14:paraId="01E70BC8">
            <w:pPr>
              <w:pStyle w:val="162"/>
              <w:ind w:left="0"/>
              <w:rPr>
                <w:rFonts w:ascii="Calibri" w:hAnsi="Calibri" w:cs="Calibri"/>
                <w:i/>
                <w:color w:val="FF0000"/>
                <w:sz w:val="16"/>
                <w:szCs w:val="16"/>
                <w:lang w:eastAsia="en-US"/>
              </w:rPr>
            </w:pPr>
            <w:r>
              <w:rPr>
                <w:rFonts w:ascii="Calibri" w:hAnsi="Calibri" w:cs="Calibri"/>
                <w:i/>
                <w:color w:val="FF0000"/>
                <w:sz w:val="16"/>
                <w:szCs w:val="16"/>
                <w:lang w:eastAsia="en-US"/>
              </w:rPr>
              <w:t>FFS on the protocol used (NRPPa or NGAP) for the data collection request.</w:t>
            </w:r>
          </w:p>
          <w:p w14:paraId="17BB9F4C">
            <w:pPr>
              <w:pStyle w:val="162"/>
              <w:ind w:left="0"/>
              <w:rPr>
                <w:rFonts w:ascii="Calibri" w:hAnsi="Calibri" w:cs="Calibri"/>
                <w:i/>
                <w:color w:val="FF0000"/>
                <w:sz w:val="16"/>
                <w:szCs w:val="16"/>
                <w:lang w:eastAsia="en-US"/>
              </w:rPr>
            </w:pPr>
            <w:r>
              <w:rPr>
                <w:rFonts w:ascii="Calibri" w:hAnsi="Calibri" w:cs="Calibri"/>
                <w:i/>
                <w:color w:val="FF0000"/>
                <w:sz w:val="16"/>
                <w:szCs w:val="16"/>
                <w:lang w:eastAsia="en-US"/>
              </w:rPr>
              <w:t xml:space="preserve"> FFS how the UE is identified.</w:t>
            </w:r>
          </w:p>
          <w:p w14:paraId="13DADD76">
            <w:pPr>
              <w:pStyle w:val="162"/>
              <w:ind w:left="0"/>
              <w:rPr>
                <w:rFonts w:ascii="Calibri" w:hAnsi="Calibri" w:cs="Calibri"/>
                <w:i/>
                <w:color w:val="FF0000"/>
                <w:sz w:val="16"/>
                <w:szCs w:val="16"/>
                <w:lang w:eastAsia="en-US"/>
              </w:rPr>
            </w:pPr>
            <w:r>
              <w:rPr>
                <w:rFonts w:ascii="Calibri" w:hAnsi="Calibri" w:cs="Calibri"/>
                <w:i/>
                <w:color w:val="FF0000"/>
                <w:sz w:val="16"/>
                <w:szCs w:val="16"/>
                <w:lang w:eastAsia="en-US"/>
              </w:rPr>
              <w:t xml:space="preserve">Common understanding is that the existing Time Stamp IE, Measurement Quality IE and LoS/NLoS indicator IE in the TRP measurement result can be re-used. </w:t>
            </w:r>
          </w:p>
          <w:p w14:paraId="4E6EC0D9">
            <w:pPr>
              <w:pStyle w:val="162"/>
              <w:ind w:left="0"/>
              <w:rPr>
                <w:rFonts w:ascii="Calibri" w:hAnsi="Calibri" w:cs="Calibri"/>
                <w:i/>
                <w:color w:val="FF0000"/>
                <w:sz w:val="16"/>
                <w:szCs w:val="16"/>
                <w:lang w:eastAsia="en-US"/>
              </w:rPr>
            </w:pPr>
            <w:r>
              <w:rPr>
                <w:rFonts w:ascii="Calibri" w:hAnsi="Calibri" w:cs="Calibri"/>
                <w:i/>
                <w:color w:val="FF0000"/>
                <w:sz w:val="16"/>
                <w:szCs w:val="16"/>
                <w:lang w:eastAsia="en-US"/>
              </w:rPr>
              <w:t>FFS if LMF should be aware that the reported measurements are AI/ML generated.</w:t>
            </w:r>
          </w:p>
          <w:p w14:paraId="09E91B87">
            <w:pPr>
              <w:pStyle w:val="162"/>
              <w:ind w:left="0"/>
              <w:rPr>
                <w:rFonts w:ascii="Calibri" w:hAnsi="Calibri" w:cs="Calibri"/>
                <w:i/>
                <w:color w:val="FF0000"/>
                <w:sz w:val="16"/>
                <w:szCs w:val="16"/>
                <w:lang w:eastAsia="en-US"/>
              </w:rPr>
            </w:pPr>
            <w:r>
              <w:rPr>
                <w:rFonts w:ascii="Calibri" w:hAnsi="Calibri" w:cs="Calibri"/>
                <w:i/>
                <w:color w:val="FF0000"/>
                <w:sz w:val="16"/>
                <w:szCs w:val="16"/>
                <w:lang w:eastAsia="en-US"/>
              </w:rPr>
              <w:t>Check progress in RAN1 and solution discussion…</w:t>
            </w:r>
          </w:p>
          <w:p w14:paraId="4ED1C396">
            <w:pPr>
              <w:pStyle w:val="162"/>
              <w:ind w:left="0"/>
              <w:rPr>
                <w:rFonts w:ascii="Calibri" w:hAnsi="Calibri" w:cs="Calibri"/>
                <w:i/>
                <w:color w:val="FF0000"/>
                <w:sz w:val="16"/>
                <w:szCs w:val="16"/>
                <w:lang w:eastAsia="en-US"/>
              </w:rPr>
            </w:pPr>
          </w:p>
          <w:p w14:paraId="60493E83">
            <w:pPr>
              <w:pStyle w:val="162"/>
              <w:ind w:left="0"/>
              <w:rPr>
                <w:rFonts w:ascii="Calibri" w:hAnsi="Calibri" w:cs="Calibri" w:eastAsiaTheme="minorEastAsia"/>
                <w:i/>
                <w:color w:val="FF0000"/>
                <w:sz w:val="16"/>
                <w:szCs w:val="16"/>
              </w:rPr>
            </w:pPr>
            <w:r>
              <w:rPr>
                <w:rFonts w:hint="eastAsia" w:ascii="Calibri" w:hAnsi="Calibri" w:cs="Calibri" w:eastAsiaTheme="minorEastAsia"/>
                <w:i/>
                <w:iCs/>
                <w:color w:val="FF0000"/>
                <w:kern w:val="2"/>
                <w:sz w:val="16"/>
                <w:szCs w:val="16"/>
              </w:rPr>
              <w:t>R</w:t>
            </w:r>
            <w:r>
              <w:rPr>
                <w:rFonts w:ascii="Calibri" w:hAnsi="Calibri" w:cs="Calibri" w:eastAsiaTheme="minorEastAsia"/>
                <w:i/>
                <w:iCs/>
                <w:color w:val="FF0000"/>
                <w:kern w:val="2"/>
                <w:sz w:val="16"/>
                <w:szCs w:val="16"/>
              </w:rPr>
              <w:t>AN3#12</w:t>
            </w:r>
            <w:r>
              <w:rPr>
                <w:rFonts w:hint="eastAsia" w:ascii="Calibri" w:hAnsi="Calibri" w:cs="Calibri" w:eastAsiaTheme="minorEastAsia"/>
                <w:i/>
                <w:iCs/>
                <w:color w:val="FF0000"/>
                <w:kern w:val="2"/>
                <w:sz w:val="16"/>
                <w:szCs w:val="16"/>
              </w:rPr>
              <w:t>7</w:t>
            </w:r>
          </w:p>
          <w:p w14:paraId="74F00C71">
            <w:pPr>
              <w:pStyle w:val="162"/>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Turn the “WA: The LMF starts a NRPPa transaction. The gNB determines that data collection is needed.” to an agreement.</w:t>
            </w:r>
          </w:p>
          <w:p w14:paraId="381A379F">
            <w:pPr>
              <w:pStyle w:val="162"/>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For case 3a, it should be possible to collect data in both an “opportunistic” (gNB collects available data from ongoing positioning sessions) and “proactive” (gNB triggers data collection at the LMF, e.g., which may trigger positioning) manner.</w:t>
            </w:r>
          </w:p>
          <w:p w14:paraId="60D4B03E">
            <w:pPr>
              <w:pStyle w:val="162"/>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For case 3a, it should be possible for the gNB to collect data for both served and non-served UEs.</w:t>
            </w:r>
          </w:p>
          <w:p w14:paraId="5A7A206D">
            <w:pPr>
              <w:pStyle w:val="162"/>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 xml:space="preserve">WA: For case 3a data collection, Part A is known internally by the gNB and is not necessarily signalled outside the gNB. </w:t>
            </w:r>
          </w:p>
          <w:p w14:paraId="1A3AD0A3">
            <w:pPr>
              <w:pStyle w:val="165"/>
              <w:rPr>
                <w:rFonts w:ascii="Calibri" w:hAnsi="Calibri" w:cs="Calibri"/>
                <w:i/>
                <w:color w:val="FF0000"/>
                <w:sz w:val="16"/>
                <w:szCs w:val="16"/>
                <w:lang w:eastAsia="en-US"/>
              </w:rPr>
            </w:pPr>
            <w:r>
              <w:rPr>
                <w:rFonts w:ascii="Calibri" w:hAnsi="Calibri" w:cs="Calibri"/>
                <w:bCs/>
                <w:color w:val="0000FF"/>
                <w:sz w:val="16"/>
                <w:szCs w:val="16"/>
              </w:rPr>
              <w:t>To be continued: Stage 2 (TS 38.305) text proposals for case 3a data collection. Companies are encouraged to consolidate solutions, if possible.</w:t>
            </w:r>
          </w:p>
        </w:tc>
      </w:tr>
    </w:tbl>
    <w:p w14:paraId="321DBA10">
      <w:pPr>
        <w:overflowPunct w:val="0"/>
        <w:autoSpaceDE w:val="0"/>
        <w:autoSpaceDN w:val="0"/>
        <w:adjustRightInd w:val="0"/>
        <w:spacing w:after="120" w:line="288" w:lineRule="auto"/>
        <w:jc w:val="both"/>
        <w:textAlignment w:val="baseline"/>
        <w:rPr>
          <w:rFonts w:eastAsiaTheme="minorEastAsia"/>
          <w:lang w:eastAsia="zh-CN"/>
        </w:rPr>
      </w:pPr>
    </w:p>
    <w:p w14:paraId="3977CC08">
      <w:pPr>
        <w:overflowPunct w:val="0"/>
        <w:autoSpaceDE w:val="0"/>
        <w:autoSpaceDN w:val="0"/>
        <w:adjustRightInd w:val="0"/>
        <w:spacing w:after="120" w:line="288" w:lineRule="auto"/>
        <w:jc w:val="both"/>
        <w:textAlignment w:val="baseline"/>
        <w:rPr>
          <w:rFonts w:eastAsiaTheme="minorEastAsia"/>
          <w:lang w:val="en-US" w:eastAsia="zh-CN"/>
        </w:rPr>
      </w:pPr>
      <w:r>
        <w:rPr>
          <w:rFonts w:hint="eastAsia" w:eastAsiaTheme="minorEastAsia"/>
          <w:lang w:val="en-US" w:eastAsia="zh-CN"/>
        </w:rPr>
        <w:t>As there are may different kinds of solutions discussed in last meeting, we</w:t>
      </w:r>
      <w:r>
        <w:rPr>
          <w:rFonts w:eastAsiaTheme="minorEastAsia"/>
          <w:lang w:val="en-US" w:eastAsia="zh-CN"/>
        </w:rPr>
        <w:t>’</w:t>
      </w:r>
      <w:r>
        <w:rPr>
          <w:rFonts w:hint="eastAsia" w:eastAsiaTheme="minorEastAsia"/>
          <w:lang w:val="en-US" w:eastAsia="zh-CN"/>
        </w:rPr>
        <w:t>d like to split the following key issues for the data collection overall procedures.</w:t>
      </w:r>
    </w:p>
    <w:p w14:paraId="43DB2F0A">
      <w:pPr>
        <w:spacing w:before="100" w:beforeAutospacing="1" w:after="100" w:afterAutospacing="1"/>
        <w:outlineLvl w:val="2"/>
        <w:rPr>
          <w:b/>
          <w:bCs/>
          <w:color w:val="auto"/>
          <w:lang w:val="en-US" w:eastAsia="zh-CN"/>
        </w:rPr>
      </w:pPr>
      <w:r>
        <w:rPr>
          <w:b/>
          <w:bCs/>
          <w:color w:val="auto"/>
          <w:lang w:val="en-US" w:eastAsia="zh-CN"/>
        </w:rPr>
        <w:t>Key Issues for Case 3a</w:t>
      </w:r>
    </w:p>
    <w:p w14:paraId="4AA86E32">
      <w:pPr>
        <w:numPr>
          <w:ilvl w:val="0"/>
          <w:numId w:val="4"/>
        </w:numPr>
        <w:spacing w:after="60"/>
        <w:rPr>
          <w:b/>
          <w:bCs/>
          <w:color w:val="auto"/>
          <w:lang w:val="en-US" w:eastAsia="zh-CN"/>
        </w:rPr>
      </w:pPr>
      <w:r>
        <w:rPr>
          <w:rFonts w:hint="eastAsia"/>
          <w:b/>
          <w:bCs/>
          <w:color w:val="auto"/>
          <w:lang w:val="en-US" w:eastAsia="zh-CN"/>
        </w:rPr>
        <w:t xml:space="preserve">UE selection </w:t>
      </w:r>
    </w:p>
    <w:p w14:paraId="3A984CA8">
      <w:pPr>
        <w:numPr>
          <w:ilvl w:val="1"/>
          <w:numId w:val="4"/>
        </w:numPr>
        <w:spacing w:after="100" w:afterAutospacing="1"/>
        <w:rPr>
          <w:color w:val="auto"/>
          <w:lang w:val="en-US" w:eastAsia="zh-CN"/>
        </w:rPr>
      </w:pPr>
      <w:r>
        <w:rPr>
          <w:rFonts w:hint="eastAsia"/>
          <w:color w:val="auto"/>
          <w:lang w:val="en-US" w:eastAsia="zh-CN"/>
        </w:rPr>
        <w:t xml:space="preserve">Whether gNB is involved in UE selection </w:t>
      </w:r>
      <w:bookmarkStart w:id="1" w:name="_GoBack"/>
      <w:bookmarkEnd w:id="1"/>
    </w:p>
    <w:p w14:paraId="7FC1905C">
      <w:pPr>
        <w:numPr>
          <w:ilvl w:val="0"/>
          <w:numId w:val="4"/>
        </w:numPr>
        <w:spacing w:after="60"/>
        <w:rPr>
          <w:b/>
          <w:bCs/>
          <w:color w:val="auto"/>
          <w:lang w:val="en-US" w:eastAsia="zh-CN"/>
        </w:rPr>
      </w:pPr>
      <w:r>
        <w:rPr>
          <w:rFonts w:hint="eastAsia"/>
          <w:b/>
          <w:bCs/>
          <w:color w:val="auto"/>
          <w:lang w:val="en-US" w:eastAsia="zh-CN"/>
        </w:rPr>
        <w:t>Procedures for data collection requirement transfer</w:t>
      </w:r>
    </w:p>
    <w:p w14:paraId="3FCC16A1">
      <w:pPr>
        <w:numPr>
          <w:ilvl w:val="1"/>
          <w:numId w:val="4"/>
        </w:numPr>
        <w:spacing w:after="100" w:afterAutospacing="1"/>
        <w:rPr>
          <w:color w:val="auto"/>
          <w:lang w:val="en-US" w:eastAsia="zh-CN"/>
        </w:rPr>
      </w:pPr>
      <w:r>
        <w:rPr>
          <w:rFonts w:hint="eastAsia"/>
          <w:color w:val="auto"/>
          <w:lang w:val="en-US" w:eastAsia="zh-CN"/>
        </w:rPr>
        <w:t>Whether NRPPa or NGAP is used</w:t>
      </w:r>
      <w:r>
        <w:rPr>
          <w:color w:val="auto"/>
          <w:lang w:val="en-US" w:eastAsia="zh-CN"/>
        </w:rPr>
        <w:t>.</w:t>
      </w:r>
    </w:p>
    <w:p w14:paraId="138CE60C">
      <w:pPr>
        <w:numPr>
          <w:ilvl w:val="0"/>
          <w:numId w:val="4"/>
        </w:numPr>
        <w:spacing w:after="60"/>
        <w:rPr>
          <w:b/>
          <w:bCs/>
          <w:color w:val="auto"/>
          <w:lang w:val="en-US" w:eastAsia="zh-CN"/>
        </w:rPr>
      </w:pPr>
      <w:r>
        <w:rPr>
          <w:rFonts w:hint="eastAsia"/>
          <w:b/>
          <w:bCs/>
          <w:color w:val="auto"/>
          <w:lang w:val="en-US" w:eastAsia="zh-CN"/>
        </w:rPr>
        <w:t>Procedures for part A measurement configuration</w:t>
      </w:r>
    </w:p>
    <w:p w14:paraId="1F621FBF">
      <w:pPr>
        <w:numPr>
          <w:ilvl w:val="1"/>
          <w:numId w:val="4"/>
        </w:numPr>
        <w:spacing w:after="100" w:afterAutospacing="1"/>
        <w:rPr>
          <w:color w:val="auto"/>
          <w:lang w:val="en-US" w:eastAsia="zh-CN"/>
        </w:rPr>
      </w:pPr>
      <w:r>
        <w:rPr>
          <w:rFonts w:hint="eastAsia"/>
          <w:color w:val="auto"/>
          <w:lang w:val="en-US" w:eastAsia="zh-CN"/>
        </w:rPr>
        <w:t>Whether leverage the NRPPa measurement request procedures</w:t>
      </w:r>
    </w:p>
    <w:p w14:paraId="12689D82">
      <w:pPr>
        <w:numPr>
          <w:ilvl w:val="0"/>
          <w:numId w:val="4"/>
        </w:numPr>
        <w:spacing w:after="60"/>
        <w:rPr>
          <w:b/>
          <w:bCs/>
          <w:color w:val="auto"/>
          <w:lang w:val="en-US" w:eastAsia="zh-CN"/>
        </w:rPr>
      </w:pPr>
      <w:r>
        <w:rPr>
          <w:rFonts w:hint="eastAsia"/>
          <w:b/>
          <w:bCs/>
          <w:color w:val="auto"/>
          <w:lang w:val="en-US" w:eastAsia="zh-CN"/>
        </w:rPr>
        <w:t>Procedures for ground truth label transfer</w:t>
      </w:r>
    </w:p>
    <w:p w14:paraId="526F43C4">
      <w:pPr>
        <w:numPr>
          <w:ilvl w:val="1"/>
          <w:numId w:val="4"/>
        </w:numPr>
        <w:spacing w:after="100" w:afterAutospacing="1"/>
        <w:rPr>
          <w:color w:val="auto"/>
          <w:lang w:val="en-US" w:eastAsia="zh-CN"/>
        </w:rPr>
      </w:pPr>
      <w:r>
        <w:rPr>
          <w:rFonts w:hint="eastAsia"/>
          <w:color w:val="auto"/>
          <w:lang w:val="en-US" w:eastAsia="zh-CN"/>
        </w:rPr>
        <w:t>Whether leverage the NRPPa measurement request procedures</w:t>
      </w:r>
    </w:p>
    <w:p w14:paraId="1187913F">
      <w:pPr>
        <w:numPr>
          <w:ilvl w:val="0"/>
          <w:numId w:val="4"/>
        </w:numPr>
        <w:spacing w:after="100" w:afterAutospacing="1"/>
        <w:rPr>
          <w:b/>
          <w:bCs/>
          <w:color w:val="auto"/>
          <w:lang w:val="en-US" w:eastAsia="zh-CN"/>
        </w:rPr>
      </w:pPr>
      <w:r>
        <w:rPr>
          <w:rFonts w:hint="eastAsia"/>
          <w:b/>
          <w:bCs/>
          <w:color w:val="auto"/>
          <w:lang w:val="en-US" w:eastAsia="zh-CN"/>
        </w:rPr>
        <w:t>Overall procedures and evaluation for potential solutions</w:t>
      </w:r>
    </w:p>
    <w:p w14:paraId="18DBC59A">
      <w:pPr>
        <w:pStyle w:val="2"/>
      </w:pPr>
      <w:r>
        <w:t>2</w:t>
      </w:r>
      <w:r>
        <w:tab/>
      </w:r>
      <w:r>
        <w:t>Discussion</w:t>
      </w:r>
    </w:p>
    <w:p w14:paraId="423862C3">
      <w:pPr>
        <w:outlineLvl w:val="1"/>
        <w:rPr>
          <w:rFonts w:hint="default"/>
          <w:b/>
          <w:bCs/>
          <w:u w:val="single"/>
          <w:lang w:val="en-US" w:eastAsia="zh-CN"/>
        </w:rPr>
      </w:pPr>
      <w:r>
        <w:rPr>
          <w:b/>
          <w:bCs/>
          <w:u w:val="single"/>
          <w:lang w:eastAsia="zh-CN"/>
        </w:rPr>
        <w:t xml:space="preserve">UE Selection </w:t>
      </w:r>
      <w:r>
        <w:rPr>
          <w:rFonts w:hint="eastAsia"/>
          <w:b/>
          <w:bCs/>
          <w:u w:val="single"/>
          <w:lang w:val="en-US" w:eastAsia="zh-CN"/>
        </w:rPr>
        <w:t>for the collected data</w:t>
      </w:r>
    </w:p>
    <w:p w14:paraId="6D8105D1">
      <w:pPr>
        <w:rPr>
          <w:rFonts w:ascii="Times New Roman" w:hAnsi="Times New Roman" w:eastAsia="宋体" w:cs="Times New Roman"/>
          <w:lang w:bidi="ar-SA"/>
        </w:rPr>
      </w:pPr>
      <w:r>
        <w:rPr>
          <w:rFonts w:ascii="Times New Roman" w:hAnsi="Times New Roman" w:eastAsia="宋体" w:cs="Times New Roman"/>
          <w:lang w:bidi="ar-SA"/>
        </w:rPr>
        <w:t>As we all know, the data for model training includes Part A (UL measurements) and Part B (ground truth label). For label-based model training, both parts A and B are required, whereas for label-free training, only Part A is necessary.</w:t>
      </w:r>
    </w:p>
    <w:p w14:paraId="1F19AEAD">
      <w:pPr>
        <w:bidi w:val="0"/>
        <w:spacing w:after="180"/>
        <w:rPr>
          <w:rFonts w:ascii="Times New Roman" w:hAnsi="Times New Roman" w:eastAsia="宋体" w:cs="Times New Roman"/>
          <w:lang w:bidi="ar-SA"/>
        </w:rPr>
      </w:pPr>
      <w:r>
        <w:rPr>
          <w:rFonts w:ascii="Times New Roman" w:hAnsi="Times New Roman" w:eastAsia="宋体" w:cs="Times New Roman"/>
          <w:lang w:bidi="ar-SA"/>
        </w:rPr>
        <w:t>Part A data consists of the UL measurements of the UL signal from any UEs (served or non-served) that the gNB can measure. To ensure data diversity, it is preferable for the data to be spread across a specific coverage area. For the UL signal measurements from non-served UEs, the gNB must request the SRS configuration from the LMF to measure and obtain Part A data from these UEs.</w:t>
      </w:r>
    </w:p>
    <w:p w14:paraId="5D85A831">
      <w:pPr>
        <w:bidi w:val="0"/>
        <w:spacing w:after="180"/>
        <w:rPr>
          <w:rFonts w:ascii="Times New Roman" w:hAnsi="Times New Roman" w:eastAsia="宋体" w:cs="Times New Roman"/>
          <w:lang w:bidi="ar-SA"/>
        </w:rPr>
      </w:pPr>
      <w:r>
        <w:rPr>
          <w:rFonts w:ascii="Times New Roman" w:hAnsi="Times New Roman" w:eastAsia="宋体" w:cs="Times New Roman"/>
          <w:lang w:bidi="ar-SA"/>
        </w:rPr>
        <w:t>Part B data are the ground truth labels corresponding to Part A. According to SA2 discussions on the LMF-side model as specified in TS 23.273, it should be noted that the UEs whose ground truth labels can be collected are either PRU or UEs with user consent. The PRU(s) are known to the LMF, and the user consent information is stored in the UDM. If the LMF wishes to collect data, it will verify user consent with the UDM. Prior to this, the LMF may query the AMF for a list of candidate UEs in a specific area.</w:t>
      </w:r>
    </w:p>
    <w:p w14:paraId="3577FB58">
      <w:pPr>
        <w:bidi w:val="0"/>
        <w:spacing w:after="180"/>
        <w:rPr>
          <w:rFonts w:hint="default" w:ascii="Times New Roman" w:hAnsi="Times New Roman" w:eastAsia="宋体" w:cs="Times New Roman"/>
          <w:lang w:val="en-US" w:eastAsia="zh-CN" w:bidi="ar-SA"/>
        </w:rPr>
      </w:pPr>
      <w:r>
        <w:rPr>
          <w:rFonts w:hint="eastAsia" w:ascii="Times New Roman" w:hAnsi="Times New Roman" w:cs="Times New Roman"/>
          <w:lang w:val="en-US" w:eastAsia="zh-CN" w:bidi="ar-SA"/>
        </w:rPr>
        <w:t xml:space="preserve">LMF can know the UE type, UE consent and UE location, LMF can select </w:t>
      </w:r>
      <w:r>
        <w:rPr>
          <w:rFonts w:hint="default" w:ascii="Times New Roman" w:hAnsi="Times New Roman" w:cs="Times New Roman"/>
          <w:lang w:val="en-US" w:eastAsia="zh-CN" w:bidi="ar-SA"/>
        </w:rPr>
        <w:t>“</w:t>
      </w:r>
      <w:r>
        <w:rPr>
          <w:rFonts w:hint="eastAsia" w:ascii="Times New Roman" w:hAnsi="Times New Roman" w:cs="Times New Roman"/>
          <w:lang w:val="en-US" w:eastAsia="zh-CN" w:bidi="ar-SA"/>
        </w:rPr>
        <w:t>right UEs</w:t>
      </w:r>
      <w:r>
        <w:rPr>
          <w:rFonts w:hint="default" w:ascii="Times New Roman" w:hAnsi="Times New Roman" w:cs="Times New Roman"/>
          <w:lang w:val="en-US" w:eastAsia="zh-CN" w:bidi="ar-SA"/>
        </w:rPr>
        <w:t>”</w:t>
      </w:r>
      <w:r>
        <w:rPr>
          <w:rFonts w:hint="eastAsia" w:ascii="Times New Roman" w:hAnsi="Times New Roman" w:cs="Times New Roman"/>
          <w:lang w:val="en-US" w:eastAsia="zh-CN" w:bidi="ar-SA"/>
        </w:rPr>
        <w:t xml:space="preserve"> for the requesting gNB considering the gNB</w:t>
      </w:r>
      <w:r>
        <w:rPr>
          <w:rFonts w:hint="default" w:ascii="Times New Roman" w:hAnsi="Times New Roman" w:cs="Times New Roman"/>
          <w:lang w:val="en-US" w:eastAsia="zh-CN" w:bidi="ar-SA"/>
        </w:rPr>
        <w:t>’</w:t>
      </w:r>
      <w:r>
        <w:rPr>
          <w:rFonts w:hint="eastAsia" w:ascii="Times New Roman" w:hAnsi="Times New Roman" w:cs="Times New Roman"/>
          <w:lang w:val="en-US" w:eastAsia="zh-CN" w:bidi="ar-SA"/>
        </w:rPr>
        <w:t>s location, no matter to providing the configuration of part A or providing the corresponding part B.</w:t>
      </w:r>
    </w:p>
    <w:p w14:paraId="2A5A9E34">
      <w:pPr>
        <w:bidi w:val="0"/>
        <w:spacing w:after="180"/>
        <w:rPr>
          <w:rFonts w:ascii="Times New Roman" w:hAnsi="Times New Roman" w:eastAsia="宋体" w:cs="Times New Roman"/>
          <w:lang w:bidi="ar-SA"/>
        </w:rPr>
      </w:pPr>
      <w:r>
        <w:rPr>
          <w:rFonts w:ascii="Times New Roman" w:hAnsi="Times New Roman" w:eastAsia="宋体" w:cs="Times New Roman"/>
          <w:lang w:bidi="ar-SA"/>
        </w:rPr>
        <w:t>Based on the above, we can make the following observations:</w:t>
      </w:r>
    </w:p>
    <w:p w14:paraId="62F5861B">
      <w:pPr>
        <w:bidi w:val="0"/>
        <w:spacing w:after="180"/>
        <w:rPr>
          <w:rFonts w:ascii="Times New Roman" w:hAnsi="Times New Roman" w:eastAsia="宋体" w:cs="Times New Roman"/>
          <w:b/>
          <w:bCs/>
          <w:lang w:bidi="ar-SA"/>
        </w:rPr>
      </w:pPr>
      <w:r>
        <w:rPr>
          <w:rFonts w:ascii="Times New Roman" w:hAnsi="Times New Roman" w:eastAsia="宋体" w:cs="Times New Roman"/>
          <w:b/>
          <w:bCs/>
          <w:lang w:bidi="ar-SA"/>
        </w:rPr>
        <w:t xml:space="preserve">Observation 1, Part A data (UL measurements) can </w:t>
      </w:r>
      <w:r>
        <w:rPr>
          <w:rFonts w:hint="eastAsia" w:ascii="Times New Roman" w:hAnsi="Times New Roman" w:cs="Times New Roman"/>
          <w:b/>
          <w:bCs/>
          <w:lang w:val="en-US" w:eastAsia="zh-CN" w:bidi="ar-SA"/>
        </w:rPr>
        <w:t xml:space="preserve">be </w:t>
      </w:r>
      <w:r>
        <w:rPr>
          <w:rFonts w:ascii="Times New Roman" w:hAnsi="Times New Roman" w:eastAsia="宋体" w:cs="Times New Roman"/>
          <w:b/>
          <w:bCs/>
          <w:lang w:bidi="ar-SA"/>
        </w:rPr>
        <w:t>from</w:t>
      </w:r>
      <w:r>
        <w:rPr>
          <w:rFonts w:hint="eastAsia" w:ascii="Times New Roman" w:hAnsi="Times New Roman" w:cs="Times New Roman"/>
          <w:b/>
          <w:bCs/>
          <w:lang w:val="en-US" w:eastAsia="zh-CN" w:bidi="ar-SA"/>
        </w:rPr>
        <w:t xml:space="preserve"> the</w:t>
      </w:r>
      <w:r>
        <w:rPr>
          <w:rFonts w:ascii="Times New Roman" w:hAnsi="Times New Roman" w:eastAsia="宋体" w:cs="Times New Roman"/>
          <w:b/>
          <w:bCs/>
          <w:lang w:bidi="ar-SA"/>
        </w:rPr>
        <w:t xml:space="preserve"> served or non-served UEs. The gNB needs to notify the LMF that data collection is activated, so it can measure and obtain Part A data based on the SRS configuration provided by the LMF.</w:t>
      </w:r>
    </w:p>
    <w:p w14:paraId="498291A4">
      <w:pPr>
        <w:bidi w:val="0"/>
        <w:spacing w:after="180"/>
        <w:rPr>
          <w:rFonts w:ascii="Times New Roman" w:hAnsi="Times New Roman" w:eastAsia="宋体" w:cs="Times New Roman"/>
          <w:b/>
          <w:bCs/>
          <w:lang w:bidi="ar-SA"/>
        </w:rPr>
      </w:pPr>
      <w:r>
        <w:rPr>
          <w:rFonts w:ascii="Times New Roman" w:hAnsi="Times New Roman" w:eastAsia="宋体" w:cs="Times New Roman"/>
          <w:b/>
          <w:bCs/>
          <w:lang w:bidi="ar-SA"/>
        </w:rPr>
        <w:t>Observation 2, Part B data (ground truth label) can only be provided to the gNB if the UE is a PRU or if the UE has given user consent.</w:t>
      </w:r>
    </w:p>
    <w:p w14:paraId="2B296C40">
      <w:pPr>
        <w:bidi w:val="0"/>
        <w:spacing w:after="180"/>
        <w:rPr>
          <w:rFonts w:hint="eastAsia" w:cs="Times New Roman"/>
          <w:b/>
          <w:bCs/>
          <w:lang w:val="en-US" w:eastAsia="zh-CN" w:bidi="ar-SA"/>
        </w:rPr>
      </w:pPr>
      <w:r>
        <w:rPr>
          <w:rFonts w:hint="eastAsia"/>
          <w:b/>
          <w:bCs/>
          <w:lang w:val="en-US" w:eastAsia="zh-CN"/>
        </w:rPr>
        <w:t xml:space="preserve">Observation 3, LMF is capable to select the right UEs to provide </w:t>
      </w:r>
      <w:r>
        <w:rPr>
          <w:rFonts w:hint="eastAsia" w:ascii="Times New Roman" w:hAnsi="Times New Roman" w:cs="Times New Roman"/>
          <w:b/>
          <w:bCs/>
          <w:lang w:val="en-US" w:eastAsia="zh-CN" w:bidi="ar-SA"/>
        </w:rPr>
        <w:t xml:space="preserve">the configuration of part A </w:t>
      </w:r>
      <w:r>
        <w:rPr>
          <w:rFonts w:hint="eastAsia" w:cs="Times New Roman"/>
          <w:b/>
          <w:bCs/>
          <w:lang w:val="en-US" w:eastAsia="zh-CN" w:bidi="ar-SA"/>
        </w:rPr>
        <w:t>and</w:t>
      </w:r>
      <w:r>
        <w:rPr>
          <w:rFonts w:hint="eastAsia" w:ascii="Times New Roman" w:hAnsi="Times New Roman" w:cs="Times New Roman"/>
          <w:b/>
          <w:bCs/>
          <w:lang w:val="en-US" w:eastAsia="zh-CN" w:bidi="ar-SA"/>
        </w:rPr>
        <w:t xml:space="preserve"> the corresponding part B</w:t>
      </w:r>
      <w:r>
        <w:rPr>
          <w:rFonts w:hint="eastAsia" w:cs="Times New Roman"/>
          <w:b/>
          <w:bCs/>
          <w:lang w:val="en-US" w:eastAsia="zh-CN" w:bidi="ar-SA"/>
        </w:rPr>
        <w:t xml:space="preserve"> considering the following information</w:t>
      </w:r>
    </w:p>
    <w:p w14:paraId="35A3F2E6">
      <w:pPr>
        <w:bidi w:val="0"/>
        <w:spacing w:after="180"/>
        <w:rPr>
          <w:rFonts w:hint="eastAsia" w:cs="Times New Roman"/>
          <w:b/>
          <w:bCs/>
          <w:lang w:val="en-US" w:eastAsia="zh-CN" w:bidi="ar-SA"/>
        </w:rPr>
      </w:pPr>
      <w:r>
        <w:rPr>
          <w:rFonts w:hint="eastAsia" w:cs="Times New Roman"/>
          <w:b/>
          <w:bCs/>
          <w:lang w:val="en-US" w:eastAsia="zh-CN" w:bidi="ar-SA"/>
        </w:rPr>
        <w:t>- UE type, whether it</w:t>
      </w:r>
      <w:r>
        <w:rPr>
          <w:rFonts w:hint="default" w:cs="Times New Roman"/>
          <w:b/>
          <w:bCs/>
          <w:lang w:val="en-US" w:eastAsia="zh-CN" w:bidi="ar-SA"/>
        </w:rPr>
        <w:t>’</w:t>
      </w:r>
      <w:r>
        <w:rPr>
          <w:rFonts w:hint="eastAsia" w:cs="Times New Roman"/>
          <w:b/>
          <w:bCs/>
          <w:lang w:val="en-US" w:eastAsia="zh-CN" w:bidi="ar-SA"/>
        </w:rPr>
        <w:t>s PRU or not</w:t>
      </w:r>
    </w:p>
    <w:p w14:paraId="2F360327">
      <w:pPr>
        <w:bidi w:val="0"/>
        <w:spacing w:after="180"/>
        <w:rPr>
          <w:rFonts w:hint="eastAsia" w:cs="Times New Roman"/>
          <w:b/>
          <w:bCs/>
          <w:lang w:val="en-US" w:eastAsia="zh-CN" w:bidi="ar-SA"/>
        </w:rPr>
      </w:pPr>
      <w:r>
        <w:rPr>
          <w:rFonts w:hint="eastAsia" w:cs="Times New Roman"/>
          <w:b/>
          <w:bCs/>
          <w:lang w:val="en-US" w:eastAsia="zh-CN" w:bidi="ar-SA"/>
        </w:rPr>
        <w:t>- UE consent, checked with UDM</w:t>
      </w:r>
    </w:p>
    <w:p w14:paraId="5F3695EB">
      <w:pPr>
        <w:bidi w:val="0"/>
        <w:spacing w:after="180"/>
        <w:rPr>
          <w:rFonts w:hint="eastAsia" w:cs="Times New Roman"/>
          <w:b/>
          <w:bCs/>
          <w:lang w:val="en-US" w:eastAsia="zh-CN" w:bidi="ar-SA"/>
        </w:rPr>
      </w:pPr>
      <w:r>
        <w:rPr>
          <w:rFonts w:hint="eastAsia" w:cs="Times New Roman"/>
          <w:b/>
          <w:bCs/>
          <w:lang w:val="en-US" w:eastAsia="zh-CN" w:bidi="ar-SA"/>
        </w:rPr>
        <w:t>- UE location, known by itself</w:t>
      </w:r>
    </w:p>
    <w:p w14:paraId="6540ABFC">
      <w:pPr>
        <w:bidi w:val="0"/>
        <w:spacing w:after="180"/>
        <w:rPr>
          <w:rFonts w:hint="eastAsia" w:cs="Times New Roman"/>
          <w:b/>
          <w:bCs/>
          <w:lang w:val="en-US" w:eastAsia="zh-CN" w:bidi="ar-SA"/>
        </w:rPr>
      </w:pPr>
      <w:r>
        <w:rPr>
          <w:rFonts w:hint="eastAsia" w:cs="Times New Roman"/>
          <w:b/>
          <w:bCs/>
          <w:lang w:val="en-US" w:eastAsia="zh-CN" w:bidi="ar-SA"/>
        </w:rPr>
        <w:t>- UE</w:t>
      </w:r>
      <w:r>
        <w:rPr>
          <w:rFonts w:hint="default" w:cs="Times New Roman"/>
          <w:b/>
          <w:bCs/>
          <w:lang w:val="en-US" w:eastAsia="zh-CN" w:bidi="ar-SA"/>
        </w:rPr>
        <w:t>’</w:t>
      </w:r>
      <w:r>
        <w:rPr>
          <w:rFonts w:hint="eastAsia" w:cs="Times New Roman"/>
          <w:b/>
          <w:bCs/>
          <w:lang w:val="en-US" w:eastAsia="zh-CN" w:bidi="ar-SA"/>
        </w:rPr>
        <w:t>s serving gNB, known via AMF</w:t>
      </w:r>
    </w:p>
    <w:p w14:paraId="0D95659D">
      <w:pPr>
        <w:bidi w:val="0"/>
        <w:spacing w:after="180"/>
        <w:rPr>
          <w:rFonts w:hint="eastAsia" w:cs="Times New Roman"/>
          <w:b/>
          <w:bCs/>
          <w:lang w:val="en-US" w:eastAsia="zh-CN" w:bidi="ar-SA"/>
        </w:rPr>
      </w:pPr>
      <w:r>
        <w:rPr>
          <w:rFonts w:hint="eastAsia" w:cs="Times New Roman"/>
          <w:b/>
          <w:bCs/>
          <w:lang w:val="en-US" w:eastAsia="zh-CN" w:bidi="ar-SA"/>
        </w:rPr>
        <w:t>- gNB</w:t>
      </w:r>
      <w:r>
        <w:rPr>
          <w:rFonts w:hint="default" w:cs="Times New Roman"/>
          <w:b/>
          <w:bCs/>
          <w:lang w:val="en-US" w:eastAsia="zh-CN" w:bidi="ar-SA"/>
        </w:rPr>
        <w:t>’</w:t>
      </w:r>
      <w:r>
        <w:rPr>
          <w:rFonts w:hint="eastAsia" w:cs="Times New Roman"/>
          <w:b/>
          <w:bCs/>
          <w:lang w:val="en-US" w:eastAsia="zh-CN" w:bidi="ar-SA"/>
        </w:rPr>
        <w:t>s data collection request</w:t>
      </w:r>
    </w:p>
    <w:p w14:paraId="10D5C728">
      <w:pPr>
        <w:bidi w:val="0"/>
        <w:spacing w:after="180"/>
        <w:rPr>
          <w:rFonts w:hint="default" w:cs="Times New Roman"/>
          <w:b/>
          <w:bCs/>
          <w:lang w:val="en-US" w:eastAsia="zh-CN" w:bidi="ar-SA"/>
        </w:rPr>
      </w:pPr>
      <w:r>
        <w:rPr>
          <w:rFonts w:hint="eastAsia" w:cs="Times New Roman"/>
          <w:b/>
          <w:bCs/>
          <w:lang w:val="en-US" w:eastAsia="zh-CN" w:bidi="ar-SA"/>
        </w:rPr>
        <w:t>- gNB</w:t>
      </w:r>
      <w:r>
        <w:rPr>
          <w:rFonts w:hint="default" w:cs="Times New Roman"/>
          <w:b/>
          <w:bCs/>
          <w:lang w:val="en-US" w:eastAsia="zh-CN" w:bidi="ar-SA"/>
        </w:rPr>
        <w:t>’</w:t>
      </w:r>
      <w:r>
        <w:rPr>
          <w:rFonts w:hint="eastAsia" w:cs="Times New Roman"/>
          <w:b/>
          <w:bCs/>
          <w:lang w:val="en-US" w:eastAsia="zh-CN" w:bidi="ar-SA"/>
        </w:rPr>
        <w:t>s location</w:t>
      </w:r>
    </w:p>
    <w:p w14:paraId="60688C11">
      <w:pPr>
        <w:rPr>
          <w:rFonts w:hint="default"/>
          <w:b/>
          <w:bCs/>
          <w:lang w:val="en-US" w:eastAsia="zh-CN"/>
        </w:rPr>
      </w:pPr>
      <w:r>
        <w:rPr>
          <w:rFonts w:hint="eastAsia"/>
          <w:b/>
          <w:bCs/>
          <w:lang w:val="en-US" w:eastAsia="zh-CN"/>
        </w:rPr>
        <w:t xml:space="preserve">Proposal 1, </w:t>
      </w:r>
      <w:r>
        <w:rPr>
          <w:b/>
          <w:bCs/>
          <w:lang w:eastAsia="zh-CN"/>
        </w:rPr>
        <w:t xml:space="preserve">LMF is the entity to perform the UE selection </w:t>
      </w:r>
      <w:r>
        <w:rPr>
          <w:rFonts w:hint="eastAsia"/>
          <w:b/>
          <w:bCs/>
          <w:lang w:val="en-US" w:eastAsia="zh-CN"/>
        </w:rPr>
        <w:t>to provide the data as per gNB</w:t>
      </w:r>
      <w:r>
        <w:rPr>
          <w:rFonts w:hint="default"/>
          <w:b/>
          <w:bCs/>
          <w:lang w:val="en-US" w:eastAsia="zh-CN"/>
        </w:rPr>
        <w:t>’</w:t>
      </w:r>
      <w:r>
        <w:rPr>
          <w:rFonts w:hint="eastAsia"/>
          <w:b/>
          <w:bCs/>
          <w:lang w:val="en-US" w:eastAsia="zh-CN"/>
        </w:rPr>
        <w:t>s request.</w:t>
      </w:r>
    </w:p>
    <w:p w14:paraId="521C0BF1">
      <w:pPr>
        <w:rPr>
          <w:b/>
          <w:bCs/>
          <w:lang w:val="en-US" w:eastAsia="zh-CN"/>
        </w:rPr>
      </w:pPr>
      <w:r>
        <w:rPr>
          <w:rFonts w:hint="eastAsia"/>
          <w:b/>
          <w:bCs/>
          <w:lang w:val="en-US" w:eastAsia="zh-CN"/>
        </w:rPr>
        <w:t xml:space="preserve">Sub-issue, gNB involvement in UE selection </w:t>
      </w:r>
    </w:p>
    <w:p w14:paraId="0AAA938B">
      <w:pPr>
        <w:rPr>
          <w:rFonts w:hint="eastAsia"/>
          <w:lang w:val="en-US" w:eastAsia="zh-CN"/>
        </w:rPr>
      </w:pPr>
      <w:r>
        <w:rPr>
          <w:rFonts w:hint="eastAsia"/>
          <w:lang w:val="en-US" w:eastAsia="zh-CN"/>
        </w:rPr>
        <w:t>For label-free AI model training, the gNB can select its serving UE and measure the UL signal from them and use to UL measurements for AI model training, this can be done by gNB implementation. If the gNB can also want part A data from non-served UEs, it can indicate the data collection request to LMF, then LMF can provide the configuration of part A.</w:t>
      </w:r>
    </w:p>
    <w:p w14:paraId="582DA18D">
      <w:pPr>
        <w:rPr>
          <w:rFonts w:hint="eastAsia"/>
          <w:lang w:val="en-US" w:eastAsia="zh-CN"/>
        </w:rPr>
      </w:pPr>
      <w:r>
        <w:rPr>
          <w:rFonts w:hint="eastAsia"/>
          <w:lang w:val="en-US" w:eastAsia="zh-CN"/>
        </w:rPr>
        <w:t>For label-based AI model training, we don</w:t>
      </w:r>
      <w:r>
        <w:rPr>
          <w:rFonts w:hint="default"/>
          <w:lang w:val="en-US" w:eastAsia="zh-CN"/>
        </w:rPr>
        <w:t>’</w:t>
      </w:r>
      <w:r>
        <w:rPr>
          <w:rFonts w:hint="eastAsia"/>
          <w:lang w:val="en-US" w:eastAsia="zh-CN"/>
        </w:rPr>
        <w:t>t think gNB request for a ground truth label for a served UE is aligned with current location service design, current Network Induced Location Request (NI-LR) is only used for emergency service and NTN access.</w:t>
      </w:r>
    </w:p>
    <w:p w14:paraId="79F32133">
      <w:pPr>
        <w:rPr>
          <w:rFonts w:hint="default"/>
          <w:b/>
          <w:bCs/>
          <w:lang w:val="en-US" w:eastAsia="zh-CN"/>
        </w:rPr>
      </w:pPr>
      <w:r>
        <w:rPr>
          <w:rFonts w:hint="eastAsia"/>
          <w:b/>
          <w:bCs/>
          <w:lang w:val="en-US" w:eastAsia="zh-CN"/>
        </w:rPr>
        <w:t>Proposal 2, for label-free AI model training data collection, the gNB can select the served UE and collect part A by implementation. For label-based AI model training data collection, the gNB cannot request a ground truth label for a specific served UE.</w:t>
      </w:r>
    </w:p>
    <w:p w14:paraId="2AE49A10">
      <w:pPr>
        <w:outlineLvl w:val="1"/>
        <w:rPr>
          <w:b/>
          <w:bCs/>
          <w:u w:val="single"/>
          <w:lang w:val="en-US" w:eastAsia="zh-CN"/>
        </w:rPr>
      </w:pPr>
      <w:r>
        <w:rPr>
          <w:rFonts w:hint="eastAsia"/>
          <w:b/>
          <w:bCs/>
          <w:u w:val="single"/>
          <w:lang w:val="en-US" w:eastAsia="zh-CN"/>
        </w:rPr>
        <w:t>Procedures for Data collection requirement transfer</w:t>
      </w:r>
    </w:p>
    <w:p w14:paraId="1EF70F30">
      <w:pPr>
        <w:rPr>
          <w:lang w:val="en-US" w:eastAsia="zh-CN"/>
        </w:rPr>
      </w:pPr>
      <w:r>
        <w:rPr>
          <w:rFonts w:hint="eastAsia"/>
          <w:lang w:val="en-US" w:eastAsia="zh-CN"/>
        </w:rPr>
        <w:t xml:space="preserve">Even gNB can be involved in some cases, we think non-UE associated procedure should be used for data collection requirement to support the more general case, i.e., gNB only indicate the data collection required without providing any UE related information. </w:t>
      </w:r>
    </w:p>
    <w:p w14:paraId="070E60D5">
      <w:pPr>
        <w:rPr>
          <w:b/>
          <w:bCs/>
          <w:lang w:val="en-US" w:eastAsia="zh-CN"/>
        </w:rPr>
      </w:pPr>
      <w:r>
        <w:rPr>
          <w:rFonts w:hint="eastAsia"/>
          <w:b/>
          <w:bCs/>
          <w:lang w:val="en-US" w:eastAsia="zh-CN"/>
        </w:rPr>
        <w:t>Proposal 3, non-UE associated procedure is used for data collection requirement transfer.</w:t>
      </w:r>
    </w:p>
    <w:p w14:paraId="4DA58E4A">
      <w:pPr>
        <w:rPr>
          <w:lang w:val="en-US" w:eastAsia="zh-CN"/>
        </w:rPr>
      </w:pPr>
      <w:r>
        <w:rPr>
          <w:rFonts w:hint="eastAsia"/>
          <w:lang w:val="en-US" w:eastAsia="zh-CN"/>
        </w:rPr>
        <w:t>According to the previous discussion, the main convectional part for the procedure design is how to inform the LMF the data collection requirement from gNB. It can be categorized in two options.</w:t>
      </w:r>
    </w:p>
    <w:p w14:paraId="63508E96">
      <w:pPr>
        <w:rPr>
          <w:lang w:val="en-US" w:eastAsia="zh-CN"/>
        </w:rPr>
      </w:pPr>
      <w:r>
        <w:rPr>
          <w:rFonts w:hint="eastAsia"/>
          <w:lang w:val="en-US" w:eastAsia="zh-CN"/>
        </w:rPr>
        <w:t>- Option 1, NRPPa procedure</w:t>
      </w:r>
    </w:p>
    <w:p w14:paraId="247B0B4D">
      <w:pPr>
        <w:rPr>
          <w:lang w:val="en-US" w:eastAsia="zh-CN"/>
        </w:rPr>
      </w:pPr>
      <w:r>
        <w:rPr>
          <w:rFonts w:hint="eastAsia"/>
          <w:lang w:val="en-US" w:eastAsia="zh-CN"/>
        </w:rPr>
        <w:t>- Option 2, NGAP procedure</w:t>
      </w:r>
    </w:p>
    <w:p w14:paraId="1F6D57A6">
      <w:pPr>
        <w:rPr>
          <w:lang w:val="en-US" w:eastAsia="zh-CN"/>
        </w:rPr>
      </w:pPr>
      <w:r>
        <w:rPr>
          <w:rFonts w:hint="eastAsia"/>
          <w:lang w:val="en-US" w:eastAsia="zh-CN"/>
        </w:rPr>
        <w:t>For option 1, RAN3 agrees that LMF starts the NRPPa transaction which aligns with the NRPPa transaction description in TS 38.305.</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00C3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0C84A81">
            <w:pPr>
              <w:rPr>
                <w:rFonts w:ascii="Cambria" w:hAnsi="Cambria"/>
              </w:rPr>
            </w:pPr>
            <w:r>
              <w:rPr>
                <w:rFonts w:ascii="Cambria" w:hAnsi="Cambria"/>
              </w:rPr>
              <w:t>For possible extensibility, the protocol is considered to operate between a generic "access node" (e.g. gNB, ng-eNB) and a "server" (e.g. LMF). An NRPPa transaction is only initiated by the server.</w:t>
            </w:r>
          </w:p>
          <w:p w14:paraId="5EDF107A">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5" o:spt="75" type="#_x0000_t75" style="height:148.9pt;width:399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14:paraId="2E87FB74">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7.2.1-1: A single NRPPa transaction</w:t>
            </w:r>
          </w:p>
          <w:p w14:paraId="31C65088">
            <w:pPr>
              <w:overflowPunct w:val="0"/>
              <w:autoSpaceDE w:val="0"/>
              <w:autoSpaceDN w:val="0"/>
              <w:adjustRightInd w:val="0"/>
              <w:textAlignment w:val="baseline"/>
              <w:rPr>
                <w:rFonts w:ascii="Cambria" w:hAnsi="Cambria"/>
                <w:lang w:val="en-US" w:eastAsia="zh-CN"/>
              </w:rPr>
            </w:pPr>
            <w:r>
              <w:rPr>
                <w:rFonts w:ascii="Cambria" w:hAnsi="Cambria" w:eastAsia="Times New Roman"/>
                <w:lang w:eastAsia="ja-JP"/>
              </w:rPr>
              <w:t xml:space="preserve">Figure 7.2.1-1 shows a single NRPPa transaction. The transaction is terminated in step 2 in procedures including OTDOA Information Exchange, TRP Information Exchange, PRS Configuration Exchange and Measurement Preconfiguration. For procedures such as Positioning Information Exchange, Measurement and E-CID Measurement Initiation, additional responses may be allowed (e.g. sending of updated information periodically and/or whenever there is some significant change). In this case, the transaction may be ended after some additional responses. </w:t>
            </w:r>
            <w:r>
              <w:rPr>
                <w:rFonts w:ascii="Cambria" w:hAnsi="Cambria" w:eastAsia="Times New Roman"/>
                <w:highlight w:val="yellow"/>
                <w:lang w:eastAsia="ja-JP"/>
              </w:rPr>
              <w:t>In the NRPPa protocol, the described transaction may be realized by the execution of one procedure defined as a request and a response, followed by one or several procedures initiated by the NG-RAN node (each procedure defined as a single message) to realize the additional responses</w:t>
            </w:r>
            <w:r>
              <w:rPr>
                <w:rFonts w:ascii="Cambria" w:hAnsi="Cambria" w:eastAsia="Times New Roman"/>
                <w:lang w:eastAsia="ja-JP"/>
              </w:rPr>
              <w:t>.</w:t>
            </w:r>
            <w:r>
              <w:rPr>
                <w:rFonts w:ascii="Cambria" w:hAnsi="Cambria" w:eastAsia="Times New Roman"/>
                <w:iCs/>
                <w:lang w:eastAsia="ja-JP"/>
              </w:rPr>
              <w:t xml:space="preserve"> The Correlation ID, as specified in </w:t>
            </w:r>
            <w:r>
              <w:rPr>
                <w:rFonts w:ascii="Cambria" w:hAnsi="Cambria" w:eastAsia="Times New Roman"/>
                <w:lang w:eastAsia="ja-JP"/>
              </w:rPr>
              <w:t>TS 29.572</w:t>
            </w:r>
            <w:r>
              <w:rPr>
                <w:rFonts w:ascii="Cambria" w:hAnsi="Cambria" w:eastAsia="Times New Roman"/>
                <w:iCs/>
                <w:lang w:eastAsia="ja-JP"/>
              </w:rPr>
              <w:t xml:space="preserve"> [33], included by the LMF when it invokes the Namf_Communication_N1N2MessageTransfer AMF service operation to transfer the NRPPa PDU may be used by the LMF to identify the target UE positioning session.</w:t>
            </w:r>
          </w:p>
        </w:tc>
      </w:tr>
    </w:tbl>
    <w:p w14:paraId="10C6D78C">
      <w:pPr>
        <w:rPr>
          <w:lang w:val="en-US" w:eastAsia="zh-CN"/>
        </w:rPr>
      </w:pPr>
    </w:p>
    <w:p w14:paraId="3747D2ED">
      <w:pPr>
        <w:rPr>
          <w:lang w:val="en-US" w:eastAsia="zh-CN"/>
        </w:rPr>
      </w:pPr>
      <w:r>
        <w:rPr>
          <w:rFonts w:hint="eastAsia"/>
          <w:b/>
          <w:bCs/>
          <w:lang w:val="en-US" w:eastAsia="zh-CN"/>
        </w:rPr>
        <w:t>For option 1</w:t>
      </w:r>
      <w:r>
        <w:rPr>
          <w:rFonts w:hint="eastAsia"/>
          <w:lang w:val="en-US" w:eastAsia="zh-CN"/>
        </w:rPr>
        <w:t>, The LMF initiates a class 1 NRPPa Data Collection Requirement procedure to indicate the gNB data collection is available in LMF, it can also be understood that this procedure is used for LMF to collect gNB</w:t>
      </w:r>
      <w:r>
        <w:rPr>
          <w:lang w:val="en-US" w:eastAsia="zh-CN"/>
        </w:rPr>
        <w:t>’</w:t>
      </w:r>
      <w:r>
        <w:rPr>
          <w:rFonts w:hint="eastAsia"/>
          <w:lang w:val="en-US" w:eastAsia="zh-CN"/>
        </w:rPr>
        <w:t xml:space="preserve">s data collection requirements. gNB responses whether it has data collection requirements in the response message, the gNB may initiates the data collection requirement update procedure (e.g., data collection is not needed) in a followed class 2 procedure. Option 1 is quite aligned with exciting NRPPa procedures and transactions in the texts marked in yellow above. </w:t>
      </w:r>
    </w:p>
    <w:p w14:paraId="5973A95C">
      <w:pPr>
        <w:jc w:val="center"/>
        <w:rPr>
          <w:lang w:val="en-US" w:eastAsia="zh-CN"/>
        </w:rPr>
      </w:pPr>
      <w:r>
        <w:rPr>
          <w:lang w:val="en-US" w:eastAsia="zh-CN"/>
        </w:rPr>
        <w:object>
          <v:shape id="_x0000_i1026" o:spt="75" type="#_x0000_t75" style="height:156.75pt;width:438.4pt;" o:ole="t" filled="f" o:preferrelative="t" stroked="f" coordsize="21600,21600">
            <v:path/>
            <v:fill on="f" focussize="0,0"/>
            <v:stroke on="f" joinstyle="miter"/>
            <v:imagedata r:id="rId8" o:title=""/>
            <o:lock v:ext="edit" aspectratio="f"/>
            <w10:wrap type="none"/>
            <w10:anchorlock/>
          </v:shape>
          <o:OLEObject Type="Embed" ProgID="Visio.Drawing.15" ShapeID="_x0000_i1026" DrawAspect="Content" ObjectID="_1468075726" r:id="rId7">
            <o:LockedField>false</o:LockedField>
          </o:OLEObject>
        </w:object>
      </w:r>
    </w:p>
    <w:p w14:paraId="45351167">
      <w:pPr>
        <w:pStyle w:val="28"/>
        <w:jc w:val="center"/>
        <w:rPr>
          <w:lang w:val="en-US" w:eastAsia="zh-CN"/>
        </w:rPr>
      </w:pPr>
      <w:r>
        <w:rPr>
          <w:rFonts w:hint="eastAsia"/>
          <w:lang w:val="en-US" w:eastAsia="zh-CN"/>
        </w:rPr>
        <w:t>Figure</w:t>
      </w:r>
      <w:r>
        <w:t xml:space="preserve"> </w:t>
      </w:r>
      <w:r>
        <w:fldChar w:fldCharType="begin"/>
      </w:r>
      <w:r>
        <w:instrText xml:space="preserve"> SEQ 图 \* ARABIC </w:instrText>
      </w:r>
      <w:r>
        <w:fldChar w:fldCharType="separate"/>
      </w:r>
      <w:r>
        <w:t>1</w:t>
      </w:r>
      <w:r>
        <w:fldChar w:fldCharType="end"/>
      </w:r>
      <w:r>
        <w:rPr>
          <w:rFonts w:hint="eastAsia"/>
          <w:lang w:eastAsia="zh-CN"/>
        </w:rPr>
        <w:t xml:space="preserve"> Traditional NRPPa procedure</w:t>
      </w:r>
      <w:r>
        <w:rPr>
          <w:rFonts w:hint="eastAsia"/>
          <w:lang w:val="en-US" w:eastAsia="zh-CN"/>
        </w:rPr>
        <w:t xml:space="preserve"> (option 1)</w:t>
      </w:r>
    </w:p>
    <w:p w14:paraId="1FE9743C">
      <w:pPr>
        <w:jc w:val="both"/>
        <w:rPr>
          <w:lang w:val="en-US" w:eastAsia="zh-CN"/>
        </w:rPr>
      </w:pPr>
      <w:r>
        <w:rPr>
          <w:rFonts w:hint="eastAsia"/>
          <w:b/>
          <w:bCs/>
          <w:lang w:val="en-US" w:eastAsia="zh-CN"/>
        </w:rPr>
        <w:t>For option 2</w:t>
      </w:r>
      <w:r>
        <w:rPr>
          <w:rFonts w:hint="eastAsia"/>
          <w:lang w:val="en-US" w:eastAsia="zh-CN"/>
        </w:rPr>
        <w:t>, gNB initiates a class 1 NGAP Data Collection procedure to a AMF, and the AMF forwards the data collection request/response between the gNB and the LMF. The potential issue for this option is the AMF behaviour and the interactions between the AMF and the LMF, which may need coordination with SA2.</w:t>
      </w:r>
    </w:p>
    <w:p w14:paraId="5A1CF724">
      <w:pPr>
        <w:jc w:val="both"/>
        <w:rPr>
          <w:lang w:val="en-US" w:eastAsia="zh-CN"/>
        </w:rPr>
      </w:pPr>
    </w:p>
    <w:p w14:paraId="2441F5A6">
      <w:pPr>
        <w:jc w:val="center"/>
        <w:rPr>
          <w:lang w:val="en-US" w:eastAsia="zh-CN"/>
        </w:rPr>
      </w:pPr>
      <w:r>
        <w:rPr>
          <w:lang w:val="en-US" w:eastAsia="zh-CN"/>
        </w:rPr>
        <w:object>
          <v:shape id="_x0000_i1027" o:spt="75" type="#_x0000_t75" style="height:156.75pt;width:438pt;" o:ole="t" filled="f" o:preferrelative="t" stroked="f" coordsize="21600,21600">
            <v:path/>
            <v:fill on="f" focussize="0,0"/>
            <v:stroke on="f" joinstyle="miter"/>
            <v:imagedata r:id="rId10" o:title=""/>
            <o:lock v:ext="edit" aspectratio="f"/>
            <w10:wrap type="none"/>
            <w10:anchorlock/>
          </v:shape>
          <o:OLEObject Type="Embed" ProgID="Visio.Drawing.15" ShapeID="_x0000_i1027" DrawAspect="Content" ObjectID="_1468075727" r:id="rId9">
            <o:LockedField>false</o:LockedField>
          </o:OLEObject>
        </w:object>
      </w:r>
    </w:p>
    <w:p w14:paraId="1179A56B">
      <w:pPr>
        <w:pStyle w:val="28"/>
        <w:jc w:val="center"/>
        <w:rPr>
          <w:lang w:val="en-US" w:eastAsia="zh-CN"/>
        </w:rPr>
      </w:pPr>
      <w:r>
        <w:rPr>
          <w:rFonts w:hint="eastAsia"/>
          <w:lang w:val="en-US" w:eastAsia="zh-CN"/>
        </w:rPr>
        <w:t>Figure</w:t>
      </w:r>
      <w:r>
        <w:t xml:space="preserve"> </w:t>
      </w:r>
      <w:r>
        <w:fldChar w:fldCharType="begin"/>
      </w:r>
      <w:r>
        <w:instrText xml:space="preserve"> SEQ 图 \* ARABIC </w:instrText>
      </w:r>
      <w:r>
        <w:fldChar w:fldCharType="separate"/>
      </w:r>
      <w:r>
        <w:t>2</w:t>
      </w:r>
      <w:r>
        <w:fldChar w:fldCharType="end"/>
      </w:r>
      <w:r>
        <w:rPr>
          <w:rFonts w:hint="eastAsia"/>
          <w:lang w:eastAsia="zh-CN"/>
        </w:rPr>
        <w:t xml:space="preserve"> NGAP procedure</w:t>
      </w:r>
      <w:r>
        <w:rPr>
          <w:rFonts w:hint="eastAsia"/>
          <w:lang w:val="en-US" w:eastAsia="zh-CN"/>
        </w:rPr>
        <w:t xml:space="preserve"> (option 2)</w:t>
      </w:r>
    </w:p>
    <w:p w14:paraId="02CBB19F">
      <w:pPr>
        <w:jc w:val="both"/>
        <w:rPr>
          <w:lang w:val="en-US" w:eastAsia="zh-CN"/>
        </w:rPr>
      </w:pPr>
    </w:p>
    <w:p w14:paraId="5B69D9A2">
      <w:pPr>
        <w:outlineLvl w:val="1"/>
        <w:rPr>
          <w:b/>
          <w:bCs/>
          <w:u w:val="single"/>
          <w:lang w:val="en-US" w:eastAsia="zh-CN"/>
        </w:rPr>
      </w:pPr>
      <w:r>
        <w:rPr>
          <w:rFonts w:hint="eastAsia"/>
          <w:b/>
          <w:bCs/>
          <w:u w:val="single"/>
          <w:lang w:val="en-US" w:eastAsia="zh-CN"/>
        </w:rPr>
        <w:t>Procedures for part A measurement configuration</w:t>
      </w:r>
    </w:p>
    <w:p w14:paraId="06CEF087">
      <w:pPr>
        <w:pStyle w:val="162"/>
        <w:ind w:left="0"/>
        <w:rPr>
          <w:sz w:val="20"/>
          <w:szCs w:val="20"/>
        </w:rPr>
      </w:pPr>
      <w:r>
        <w:rPr>
          <w:sz w:val="20"/>
          <w:szCs w:val="20"/>
        </w:rPr>
        <w:t>RAN3 agreed, "</w:t>
      </w:r>
      <w:r>
        <w:rPr>
          <w:color w:val="70AD47" w:themeColor="accent6"/>
          <w:sz w:val="20"/>
          <w:szCs w:val="20"/>
          <w14:textFill>
            <w14:solidFill>
              <w14:schemeClr w14:val="accent6"/>
            </w14:solidFill>
          </w14:textFill>
        </w:rPr>
        <w:t>For case 3a, it should be possible for the gNB to collect data for both served and non-served UEs</w:t>
      </w:r>
      <w:r>
        <w:rPr>
          <w:sz w:val="20"/>
          <w:szCs w:val="20"/>
        </w:rPr>
        <w:t>."</w:t>
      </w:r>
    </w:p>
    <w:p w14:paraId="4BEE18E6">
      <w:pPr>
        <w:pStyle w:val="162"/>
        <w:ind w:left="0"/>
        <w:rPr>
          <w:sz w:val="20"/>
          <w:szCs w:val="20"/>
        </w:rPr>
      </w:pPr>
      <w:r>
        <w:rPr>
          <w:sz w:val="20"/>
          <w:szCs w:val="20"/>
        </w:rPr>
        <w:t xml:space="preserve">Regarding part A data collection, if the data pertains to </w:t>
      </w:r>
      <w:r>
        <w:rPr>
          <w:rFonts w:hint="eastAsia"/>
          <w:sz w:val="20"/>
          <w:szCs w:val="20"/>
        </w:rPr>
        <w:t xml:space="preserve">the </w:t>
      </w:r>
      <w:r>
        <w:rPr>
          <w:sz w:val="20"/>
          <w:szCs w:val="20"/>
        </w:rPr>
        <w:t>served UEs, it can be gNB</w:t>
      </w:r>
      <w:r>
        <w:rPr>
          <w:rFonts w:hint="eastAsia"/>
          <w:sz w:val="20"/>
          <w:szCs w:val="20"/>
        </w:rPr>
        <w:t xml:space="preserve"> implementation to configure and measure the UE</w:t>
      </w:r>
      <w:r>
        <w:rPr>
          <w:sz w:val="20"/>
          <w:szCs w:val="20"/>
        </w:rPr>
        <w:t>. For data from non-served UEs, the existing NRPPa measurement procedure can be utilized. To devise a general solution, it is proposed to collect part A by reusing the NRPPa measurement procedure.</w:t>
      </w:r>
    </w:p>
    <w:p w14:paraId="083E0FB1">
      <w:pPr>
        <w:rPr>
          <w:b/>
          <w:bCs/>
          <w:lang w:val="en-US" w:eastAsia="zh-CN"/>
        </w:rPr>
      </w:pPr>
      <w:r>
        <w:rPr>
          <w:rFonts w:hint="eastAsia"/>
          <w:b/>
          <w:bCs/>
          <w:lang w:val="en-US" w:eastAsia="zh-CN"/>
        </w:rPr>
        <w:t xml:space="preserve">Proposal 4, NRPPa measurement procedure is reused to configuring the gNB to measure and collect part A measurements. </w:t>
      </w:r>
    </w:p>
    <w:p w14:paraId="4FECAE80">
      <w:pPr>
        <w:outlineLvl w:val="1"/>
        <w:rPr>
          <w:b/>
          <w:bCs/>
          <w:u w:val="single"/>
          <w:lang w:val="en-US" w:eastAsia="zh-CN"/>
        </w:rPr>
      </w:pPr>
      <w:r>
        <w:rPr>
          <w:rFonts w:hint="eastAsia"/>
          <w:b/>
          <w:bCs/>
          <w:u w:val="single"/>
          <w:lang w:val="en-US" w:eastAsia="zh-CN"/>
        </w:rPr>
        <w:t>Procedures for ground truth label transfer</w:t>
      </w:r>
    </w:p>
    <w:p w14:paraId="45EF3CFE">
      <w:pPr>
        <w:jc w:val="both"/>
        <w:rPr>
          <w:lang w:val="en-US" w:eastAsia="zh-CN"/>
        </w:rPr>
      </w:pPr>
      <w:r>
        <w:rPr>
          <w:rFonts w:hint="eastAsia"/>
          <w:lang w:val="en-US" w:eastAsia="zh-CN"/>
        </w:rPr>
        <w:t xml:space="preserve">The main controversial part for this issue is whether to use existing measurement procedure (i.e. measurement request) or new procedures, the key point is how to correlate part A and part B. </w:t>
      </w:r>
    </w:p>
    <w:p w14:paraId="0603A39C">
      <w:pPr>
        <w:jc w:val="both"/>
        <w:rPr>
          <w:lang w:val="en-US" w:eastAsia="zh-CN"/>
        </w:rPr>
      </w:pPr>
      <w:r>
        <w:rPr>
          <w:rFonts w:hint="eastAsia"/>
          <w:lang w:val="en-US" w:eastAsia="zh-CN"/>
        </w:rPr>
        <w:t>There are two options:</w:t>
      </w:r>
    </w:p>
    <w:p w14:paraId="54A84826">
      <w:pPr>
        <w:rPr>
          <w:lang w:val="en-US" w:eastAsia="zh-CN"/>
        </w:rPr>
      </w:pPr>
      <w:r>
        <w:rPr>
          <w:rFonts w:hint="eastAsia"/>
          <w:lang w:val="en-US" w:eastAsia="zh-CN"/>
        </w:rPr>
        <w:t xml:space="preserve">- option A, </w:t>
      </w:r>
      <w:r>
        <w:rPr>
          <w:lang w:eastAsia="zh-CN"/>
        </w:rPr>
        <w:t xml:space="preserve">the part B info </w:t>
      </w:r>
      <w:r>
        <w:rPr>
          <w:rFonts w:hint="eastAsia"/>
          <w:lang w:val="en-US" w:eastAsia="zh-CN"/>
        </w:rPr>
        <w:t>is</w:t>
      </w:r>
      <w:r>
        <w:rPr>
          <w:lang w:eastAsia="zh-CN"/>
        </w:rPr>
        <w:t xml:space="preserve"> provided at the same time when configuring the measurement for part A</w:t>
      </w:r>
      <w:r>
        <w:rPr>
          <w:rFonts w:hint="eastAsia"/>
          <w:lang w:val="en-US" w:eastAsia="zh-CN"/>
        </w:rPr>
        <w:t>.</w:t>
      </w:r>
    </w:p>
    <w:p w14:paraId="56E4C7A6">
      <w:pPr>
        <w:rPr>
          <w:lang w:eastAsia="zh-CN"/>
        </w:rPr>
      </w:pPr>
      <w:r>
        <w:rPr>
          <w:rFonts w:hint="eastAsia"/>
          <w:lang w:val="en-US" w:eastAsia="zh-CN"/>
        </w:rPr>
        <w:t xml:space="preserve">- option B, the part B is provided in a different message that </w:t>
      </w:r>
      <w:r>
        <w:rPr>
          <w:lang w:eastAsia="zh-CN"/>
        </w:rPr>
        <w:t>configuring measurement for part A</w:t>
      </w:r>
      <w:r>
        <w:rPr>
          <w:rFonts w:hint="eastAsia"/>
          <w:lang w:val="en-US" w:eastAsia="zh-CN"/>
        </w:rPr>
        <w:t>, the transaction ID, measurement ID and timestamps</w:t>
      </w:r>
      <w:r>
        <w:rPr>
          <w:lang w:eastAsia="zh-CN"/>
        </w:rPr>
        <w:t xml:space="preserve"> </w:t>
      </w:r>
      <w:r>
        <w:rPr>
          <w:rFonts w:hint="eastAsia"/>
          <w:lang w:val="en-US" w:eastAsia="zh-CN"/>
        </w:rPr>
        <w:t xml:space="preserve">(etc.) </w:t>
      </w:r>
      <w:r>
        <w:rPr>
          <w:lang w:eastAsia="zh-CN"/>
        </w:rPr>
        <w:t xml:space="preserve">in each message </w:t>
      </w:r>
      <w:r>
        <w:rPr>
          <w:rFonts w:hint="eastAsia"/>
          <w:lang w:val="en-US" w:eastAsia="zh-CN"/>
        </w:rPr>
        <w:t xml:space="preserve">can be used </w:t>
      </w:r>
      <w:r>
        <w:rPr>
          <w:lang w:eastAsia="zh-CN"/>
        </w:rPr>
        <w:t xml:space="preserve">to </w:t>
      </w:r>
      <w:r>
        <w:rPr>
          <w:rFonts w:hint="eastAsia"/>
          <w:lang w:val="en-US" w:eastAsia="zh-CN"/>
        </w:rPr>
        <w:t xml:space="preserve">correlate </w:t>
      </w:r>
      <w:r>
        <w:rPr>
          <w:lang w:eastAsia="zh-CN"/>
        </w:rPr>
        <w:t xml:space="preserve">the </w:t>
      </w:r>
      <w:r>
        <w:rPr>
          <w:rFonts w:hint="eastAsia"/>
          <w:lang w:val="en-US" w:eastAsia="zh-CN"/>
        </w:rPr>
        <w:t>part A and part B</w:t>
      </w:r>
      <w:r>
        <w:rPr>
          <w:lang w:eastAsia="zh-CN"/>
        </w:rPr>
        <w:t>.</w:t>
      </w:r>
    </w:p>
    <w:p w14:paraId="21CC1016">
      <w:pPr>
        <w:rPr>
          <w:rFonts w:hint="eastAsia"/>
          <w:b/>
          <w:bCs/>
          <w:lang w:val="en-US" w:eastAsia="zh-CN"/>
        </w:rPr>
      </w:pPr>
      <w:r>
        <w:rPr>
          <w:rFonts w:hint="eastAsia"/>
          <w:b/>
          <w:bCs/>
          <w:lang w:val="en-US" w:eastAsia="zh-CN"/>
        </w:rPr>
        <w:t>Proposal 5, RAN3 discuss whether to reuse measurement request or introduce a new message to provide the ground truth label from LMF to gNB.</w:t>
      </w:r>
    </w:p>
    <w:p w14:paraId="2C91DB3C">
      <w:pPr>
        <w:jc w:val="both"/>
        <w:outlineLvl w:val="1"/>
        <w:rPr>
          <w:b/>
          <w:bCs/>
          <w:u w:val="single"/>
          <w:lang w:val="en-US" w:eastAsia="zh-CN"/>
        </w:rPr>
      </w:pPr>
      <w:r>
        <w:rPr>
          <w:rFonts w:hint="eastAsia"/>
          <w:b/>
          <w:bCs/>
          <w:u w:val="single"/>
          <w:lang w:val="en-US" w:eastAsia="zh-CN"/>
        </w:rPr>
        <w:t xml:space="preserve">Overall procedures </w:t>
      </w:r>
    </w:p>
    <w:p w14:paraId="03CAD194">
      <w:pPr>
        <w:jc w:val="both"/>
        <w:rPr>
          <w:rFonts w:hint="default"/>
          <w:b/>
          <w:bCs/>
          <w:lang w:val="en-US" w:eastAsia="zh-CN"/>
        </w:rPr>
      </w:pPr>
      <w:r>
        <w:rPr>
          <w:rFonts w:hint="eastAsia"/>
          <w:lang w:val="en-US" w:eastAsia="zh-CN"/>
        </w:rPr>
        <w:t xml:space="preserve">Based on the above discussions, the following overall procedures can be further discussed. For the procedures to provide ground truth label, we use option B as example in the following discussion to avoid too divergent solutions. </w:t>
      </w:r>
    </w:p>
    <w:p w14:paraId="16D6D896">
      <w:pPr>
        <w:jc w:val="both"/>
        <w:outlineLvl w:val="2"/>
        <w:rPr>
          <w:b/>
          <w:bCs/>
          <w:lang w:val="en-US" w:eastAsia="zh-CN"/>
        </w:rPr>
      </w:pPr>
      <w:r>
        <w:rPr>
          <w:rFonts w:hint="eastAsia"/>
          <w:b/>
          <w:bCs/>
          <w:lang w:val="en-US" w:eastAsia="zh-CN"/>
        </w:rPr>
        <w:t>Solution 1:</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1"/>
        <w:gridCol w:w="4568"/>
      </w:tblGrid>
      <w:tr w14:paraId="45BCE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4571" w:type="dxa"/>
          </w:tcPr>
          <w:p w14:paraId="4B3FA059">
            <w:pPr>
              <w:jc w:val="center"/>
              <w:rPr>
                <w:rFonts w:ascii="Cambria" w:hAnsi="Cambria"/>
                <w:b/>
                <w:bCs/>
                <w:lang w:val="en-US" w:eastAsia="zh-CN"/>
              </w:rPr>
            </w:pPr>
            <w:r>
              <w:rPr>
                <w:rFonts w:hint="eastAsia" w:ascii="Cambria" w:hAnsi="Cambria"/>
                <w:b/>
                <w:bCs/>
                <w:lang w:val="en-US" w:eastAsia="zh-CN"/>
              </w:rPr>
              <w:t>Procedure for data collection requirement</w:t>
            </w:r>
          </w:p>
        </w:tc>
        <w:tc>
          <w:tcPr>
            <w:tcW w:w="4568" w:type="dxa"/>
          </w:tcPr>
          <w:p w14:paraId="62F75677">
            <w:pPr>
              <w:jc w:val="center"/>
              <w:rPr>
                <w:rFonts w:ascii="Cambria" w:hAnsi="Cambria"/>
                <w:b/>
                <w:bCs/>
                <w:lang w:val="en-US" w:eastAsia="zh-CN"/>
              </w:rPr>
            </w:pPr>
            <w:r>
              <w:rPr>
                <w:rFonts w:hint="eastAsia" w:ascii="Cambria" w:hAnsi="Cambria"/>
                <w:b/>
                <w:bCs/>
                <w:lang w:val="en-US" w:eastAsia="zh-CN"/>
              </w:rPr>
              <w:t>Procedure for ground truth label transfer</w:t>
            </w:r>
          </w:p>
        </w:tc>
      </w:tr>
      <w:tr w14:paraId="55C5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571" w:type="dxa"/>
          </w:tcPr>
          <w:p w14:paraId="7C21BA3C">
            <w:pPr>
              <w:jc w:val="both"/>
              <w:rPr>
                <w:rFonts w:ascii="Cambria" w:hAnsi="Cambria"/>
                <w:lang w:val="en-US" w:eastAsia="zh-CN"/>
              </w:rPr>
            </w:pPr>
            <w:r>
              <w:rPr>
                <w:rFonts w:hint="eastAsia" w:ascii="Cambria" w:hAnsi="Cambria"/>
                <w:lang w:val="en-US" w:eastAsia="zh-CN"/>
              </w:rPr>
              <w:t>Introduce Class 1 NRPPa data collection requirement procedure + class 2 NRPPa data collection acquirement update procedure</w:t>
            </w:r>
          </w:p>
        </w:tc>
        <w:tc>
          <w:tcPr>
            <w:tcW w:w="4568" w:type="dxa"/>
          </w:tcPr>
          <w:p w14:paraId="34F27D7E">
            <w:pPr>
              <w:jc w:val="both"/>
              <w:rPr>
                <w:rFonts w:hint="eastAsia" w:ascii="Cambria" w:hAnsi="Cambria"/>
                <w:lang w:val="en-US" w:eastAsia="zh-CN"/>
              </w:rPr>
            </w:pPr>
            <w:r>
              <w:rPr>
                <w:rFonts w:hint="eastAsia" w:ascii="Cambria" w:hAnsi="Cambria"/>
                <w:lang w:val="en-US" w:eastAsia="zh-CN"/>
              </w:rPr>
              <w:t>Include ground truth label in a new class 2 NRPPa data collection information message, correlation information is needed</w:t>
            </w:r>
          </w:p>
          <w:p w14:paraId="68204E5C">
            <w:pPr>
              <w:jc w:val="both"/>
              <w:rPr>
                <w:rFonts w:hint="default" w:ascii="Cambria" w:hAnsi="Cambria"/>
                <w:lang w:val="en-US" w:eastAsia="zh-CN"/>
              </w:rPr>
            </w:pPr>
            <w:r>
              <w:rPr>
                <w:rFonts w:hint="eastAsia" w:ascii="Cambria" w:hAnsi="Cambria"/>
                <w:lang w:val="en-US" w:eastAsia="zh-CN"/>
              </w:rPr>
              <w:t>Note: option B is used as an example, option A is not precluded.</w:t>
            </w:r>
          </w:p>
        </w:tc>
      </w:tr>
    </w:tbl>
    <w:p w14:paraId="06A771E2">
      <w:pPr>
        <w:jc w:val="center"/>
      </w:pPr>
    </w:p>
    <w:p w14:paraId="60C8A984">
      <w:pPr>
        <w:jc w:val="center"/>
      </w:pPr>
      <w:r>
        <w:object>
          <v:shape id="_x0000_i1029" o:spt="75" type="#_x0000_t75" style="height:282.75pt;width:411pt;" o:ole="t" filled="f" o:preferrelative="t" stroked="f" coordsize="21600,21600">
            <v:path/>
            <v:fill on="f" focussize="0,0"/>
            <v:stroke on="f" joinstyle="miter"/>
            <v:imagedata r:id="rId12" o:title=""/>
            <o:lock v:ext="edit" aspectratio="f"/>
            <w10:wrap type="none"/>
            <w10:anchorlock/>
          </v:shape>
          <o:OLEObject Type="Embed" ProgID="Visio.Drawing.15" ShapeID="_x0000_i1029" DrawAspect="Content" ObjectID="_1468075728" r:id="rId11">
            <o:LockedField>false</o:LockedField>
          </o:OLEObject>
        </w:object>
      </w:r>
    </w:p>
    <w:p w14:paraId="37D84655">
      <w:pPr>
        <w:pStyle w:val="28"/>
        <w:jc w:val="center"/>
        <w:rPr>
          <w:rFonts w:hint="default" w:eastAsia="宋体"/>
          <w:lang w:val="en-US" w:eastAsia="zh-CN"/>
        </w:rPr>
      </w:pPr>
      <w:r>
        <w:rPr>
          <w:rFonts w:hint="eastAsia"/>
          <w:lang w:val="en-US" w:eastAsia="zh-CN"/>
        </w:rPr>
        <w:t>Figure</w:t>
      </w:r>
      <w:r>
        <w:t xml:space="preserve"> </w:t>
      </w:r>
      <w:r>
        <w:fldChar w:fldCharType="begin"/>
      </w:r>
      <w:r>
        <w:instrText xml:space="preserve"> SEQ 图 \* ARABIC </w:instrText>
      </w:r>
      <w:r>
        <w:fldChar w:fldCharType="separate"/>
      </w:r>
      <w:r>
        <w:t>3</w:t>
      </w:r>
      <w:r>
        <w:fldChar w:fldCharType="end"/>
      </w:r>
      <w:r>
        <w:rPr>
          <w:rFonts w:hint="eastAsia"/>
          <w:lang w:val="en-US" w:eastAsia="zh-CN"/>
        </w:rPr>
        <w:t xml:space="preserve"> NRPPa-based solution</w:t>
      </w:r>
    </w:p>
    <w:p w14:paraId="0D1C128F">
      <w:pPr>
        <w:jc w:val="center"/>
      </w:pPr>
    </w:p>
    <w:p w14:paraId="0900B71E">
      <w:pPr>
        <w:numPr>
          <w:ilvl w:val="0"/>
          <w:numId w:val="5"/>
        </w:numPr>
        <w:overflowPunct w:val="0"/>
        <w:autoSpaceDE w:val="0"/>
        <w:autoSpaceDN w:val="0"/>
        <w:adjustRightInd w:val="0"/>
        <w:ind w:left="568" w:hanging="284"/>
        <w:textAlignment w:val="baseline"/>
        <w:rPr>
          <w:lang w:val="en-US" w:eastAsia="zh-CN"/>
        </w:rPr>
      </w:pPr>
      <w:r>
        <w:rPr>
          <w:rFonts w:eastAsia="Times New Roman"/>
          <w:lang w:eastAsia="ja-JP"/>
        </w:rPr>
        <w:t xml:space="preserve">The LMF sends </w:t>
      </w:r>
      <w:r>
        <w:rPr>
          <w:rFonts w:hint="eastAsia"/>
          <w:lang w:val="en-US" w:eastAsia="zh-CN"/>
        </w:rPr>
        <w:t xml:space="preserve">a </w:t>
      </w:r>
      <w:r>
        <w:rPr>
          <w:rFonts w:eastAsia="Times New Roman"/>
          <w:lang w:eastAsia="ja-JP"/>
        </w:rPr>
        <w:t xml:space="preserve">NRPPa </w:t>
      </w:r>
      <w:r>
        <w:rPr>
          <w:rFonts w:hint="eastAsia"/>
          <w:lang w:val="en-US" w:eastAsia="zh-CN"/>
        </w:rPr>
        <w:t>Data Collection Requirement Request</w:t>
      </w:r>
      <w:r>
        <w:rPr>
          <w:rFonts w:eastAsia="Times New Roman"/>
          <w:lang w:eastAsia="ja-JP"/>
        </w:rPr>
        <w:t xml:space="preserve"> message to </w:t>
      </w:r>
      <w:r>
        <w:rPr>
          <w:rFonts w:hint="eastAsia"/>
          <w:lang w:val="en-US" w:eastAsia="zh-CN"/>
        </w:rPr>
        <w:t xml:space="preserve">a </w:t>
      </w:r>
      <w:r>
        <w:rPr>
          <w:rFonts w:eastAsia="Times New Roman"/>
          <w:lang w:eastAsia="ja-JP"/>
        </w:rPr>
        <w:t>gNB</w:t>
      </w:r>
      <w:r>
        <w:rPr>
          <w:rFonts w:hint="eastAsia"/>
          <w:lang w:val="en-US" w:eastAsia="zh-CN"/>
        </w:rPr>
        <w:t xml:space="preserve"> to indicate the data collection is available in LMF. </w:t>
      </w:r>
    </w:p>
    <w:p w14:paraId="7B7DB217">
      <w:pPr>
        <w:numPr>
          <w:ilvl w:val="0"/>
          <w:numId w:val="5"/>
        </w:numPr>
        <w:overflowPunct w:val="0"/>
        <w:autoSpaceDE w:val="0"/>
        <w:autoSpaceDN w:val="0"/>
        <w:adjustRightInd w:val="0"/>
        <w:ind w:left="568" w:hanging="284"/>
        <w:textAlignment w:val="baseline"/>
        <w:rPr>
          <w:rFonts w:eastAsia="Times New Roman"/>
          <w:lang w:eastAsia="ja-JP"/>
        </w:rPr>
      </w:pPr>
      <w:r>
        <w:rPr>
          <w:rFonts w:hint="eastAsia"/>
          <w:lang w:val="en-US" w:eastAsia="zh-CN"/>
        </w:rPr>
        <w:t xml:space="preserve">The </w:t>
      </w:r>
      <w:r>
        <w:rPr>
          <w:rFonts w:hint="eastAsia" w:eastAsia="Times New Roman"/>
          <w:lang w:eastAsia="ja-JP"/>
        </w:rPr>
        <w:t xml:space="preserve">gNB </w:t>
      </w:r>
      <w:r>
        <w:rPr>
          <w:rFonts w:hint="eastAsia"/>
          <w:lang w:val="en-US" w:eastAsia="zh-CN"/>
        </w:rPr>
        <w:t xml:space="preserve">response a NRPPa Data Collection Requirement Response message to the LMF. If data collection is required in the gNB, it includes the data collection requirement information in the NRPPa Data Collection Requirement Response message. </w:t>
      </w:r>
    </w:p>
    <w:p w14:paraId="20262567">
      <w:pPr>
        <w:overflowPunct w:val="0"/>
        <w:autoSpaceDE w:val="0"/>
        <w:autoSpaceDN w:val="0"/>
        <w:adjustRightInd w:val="0"/>
        <w:ind w:left="284"/>
        <w:textAlignment w:val="baseline"/>
        <w:rPr>
          <w:lang w:val="en-US" w:eastAsia="zh-CN"/>
        </w:rPr>
      </w:pPr>
      <w:r>
        <w:rPr>
          <w:rFonts w:hint="eastAsia"/>
          <w:lang w:val="en-US" w:eastAsia="zh-CN"/>
        </w:rPr>
        <w:t>NOTE 1: the LMF may initiates multiple Data Collection Requirement Request Procedure to multiple gNBs.</w:t>
      </w:r>
    </w:p>
    <w:p w14:paraId="72759C6F">
      <w:pPr>
        <w:numPr>
          <w:ilvl w:val="0"/>
          <w:numId w:val="5"/>
        </w:numPr>
        <w:overflowPunct w:val="0"/>
        <w:autoSpaceDE w:val="0"/>
        <w:autoSpaceDN w:val="0"/>
        <w:adjustRightInd w:val="0"/>
        <w:ind w:left="568" w:hanging="284"/>
        <w:textAlignment w:val="baseline"/>
        <w:rPr>
          <w:rFonts w:eastAsia="Times New Roman"/>
          <w:lang w:eastAsia="ja-JP"/>
        </w:rPr>
      </w:pPr>
      <w:r>
        <w:rPr>
          <w:rFonts w:hint="eastAsia"/>
          <w:lang w:val="en-US" w:eastAsia="zh-CN"/>
        </w:rPr>
        <w:t xml:space="preserve">The LMF perform UE selection as described in TS 23.273 (e.g. step 1-5 in section 6.22.3) considering to the data collection requirement information received from the gNB. </w:t>
      </w:r>
    </w:p>
    <w:p w14:paraId="24FF3B1F">
      <w:pPr>
        <w:overflowPunct w:val="0"/>
        <w:autoSpaceDE w:val="0"/>
        <w:autoSpaceDN w:val="0"/>
        <w:adjustRightInd w:val="0"/>
        <w:ind w:left="284"/>
        <w:textAlignment w:val="baseline"/>
        <w:rPr>
          <w:lang w:val="en-US" w:eastAsia="zh-CN"/>
        </w:rPr>
      </w:pPr>
      <w:r>
        <w:rPr>
          <w:rFonts w:hint="eastAsia"/>
          <w:lang w:val="en-US" w:eastAsia="zh-CN"/>
        </w:rPr>
        <w:t>NOTE 2, The selected UE can be either PRU or UE with user consent.</w:t>
      </w:r>
    </w:p>
    <w:p w14:paraId="6E8BE435">
      <w:pPr>
        <w:overflowPunct w:val="0"/>
        <w:autoSpaceDE w:val="0"/>
        <w:autoSpaceDN w:val="0"/>
        <w:adjustRightInd w:val="0"/>
        <w:ind w:left="284"/>
        <w:textAlignment w:val="baseline"/>
        <w:rPr>
          <w:lang w:val="en-US" w:eastAsia="ja-JP"/>
        </w:rPr>
      </w:pPr>
      <w:r>
        <w:rPr>
          <w:rFonts w:hint="eastAsia"/>
          <w:lang w:val="en-US" w:eastAsia="zh-CN"/>
        </w:rPr>
        <w:t>NOTE 3, The selected UE may be or may be not served by the gNB.</w:t>
      </w:r>
    </w:p>
    <w:p w14:paraId="07BEBE31">
      <w:pPr>
        <w:numPr>
          <w:ilvl w:val="0"/>
          <w:numId w:val="5"/>
        </w:numPr>
        <w:overflowPunct w:val="0"/>
        <w:autoSpaceDE w:val="0"/>
        <w:autoSpaceDN w:val="0"/>
        <w:adjustRightInd w:val="0"/>
        <w:ind w:left="568" w:hanging="284"/>
        <w:textAlignment w:val="baseline"/>
        <w:rPr>
          <w:rFonts w:eastAsia="Times New Roman"/>
          <w:lang w:eastAsia="ja-JP"/>
        </w:rPr>
      </w:pPr>
      <w:r>
        <w:rPr>
          <w:rFonts w:hint="eastAsia"/>
          <w:lang w:val="en-US" w:eastAsia="zh-CN"/>
        </w:rPr>
        <w:t xml:space="preserve">The LMF may initiate UE positioning procedures for the selected UE as specified in TS 23.273 section 6.11 to obtain the UE location (i.e. the ground truth label). </w:t>
      </w:r>
    </w:p>
    <w:p w14:paraId="3B9317DF">
      <w:pPr>
        <w:numPr>
          <w:ilvl w:val="0"/>
          <w:numId w:val="5"/>
        </w:numPr>
        <w:overflowPunct w:val="0"/>
        <w:autoSpaceDE w:val="0"/>
        <w:autoSpaceDN w:val="0"/>
        <w:adjustRightInd w:val="0"/>
        <w:ind w:left="568" w:hanging="284"/>
        <w:textAlignment w:val="baseline"/>
        <w:rPr>
          <w:rFonts w:eastAsia="Times New Roman"/>
          <w:lang w:eastAsia="ja-JP"/>
        </w:rPr>
      </w:pPr>
      <w:r>
        <w:rPr>
          <w:rFonts w:hint="eastAsia"/>
          <w:lang w:val="en-US" w:eastAsia="zh-CN"/>
        </w:rPr>
        <w:t>The LMF initiates UL positioning procedures for the selected UE to configure UL SRS as</w:t>
      </w:r>
      <w:r>
        <w:rPr>
          <w:rFonts w:hint="eastAsia" w:eastAsia="Times New Roman"/>
          <w:lang w:val="en-US" w:eastAsia="zh-CN"/>
        </w:rPr>
        <w:t xml:space="preserve"> specified in TS 23.273 section 6.11.2 and 6.11.3.</w:t>
      </w:r>
    </w:p>
    <w:p w14:paraId="15079716">
      <w:pPr>
        <w:numPr>
          <w:ilvl w:val="0"/>
          <w:numId w:val="5"/>
        </w:numPr>
        <w:overflowPunct w:val="0"/>
        <w:autoSpaceDE w:val="0"/>
        <w:autoSpaceDN w:val="0"/>
        <w:adjustRightInd w:val="0"/>
        <w:ind w:left="568" w:hanging="284"/>
        <w:textAlignment w:val="baseline"/>
      </w:pPr>
      <w:r>
        <w:rPr>
          <w:rFonts w:hint="eastAsia" w:eastAsia="Times New Roman"/>
          <w:lang w:val="en-US" w:eastAsia="zh-CN"/>
        </w:rPr>
        <w:t xml:space="preserve">The LMF sends a NRPPa Data Collection Information </w:t>
      </w:r>
      <w:r>
        <w:rPr>
          <w:rFonts w:hint="eastAsia" w:eastAsia="Times New Roman"/>
          <w:lang w:eastAsia="ja-JP"/>
        </w:rPr>
        <w:t>message to the gNB</w:t>
      </w:r>
      <w:r>
        <w:rPr>
          <w:rFonts w:hint="eastAsia" w:eastAsia="Times New Roman"/>
          <w:lang w:val="en-US" w:eastAsia="zh-CN"/>
        </w:rPr>
        <w:t xml:space="preserve">. LMF includes the ground truth label(s) along with the measurement ID(s) and timestamps in the NRPPa Data Collection Information </w:t>
      </w:r>
      <w:r>
        <w:rPr>
          <w:rFonts w:hint="eastAsia" w:eastAsia="Times New Roman"/>
          <w:lang w:eastAsia="ja-JP"/>
        </w:rPr>
        <w:t>message</w:t>
      </w:r>
      <w:r>
        <w:rPr>
          <w:rFonts w:hint="eastAsia" w:eastAsia="Times New Roman"/>
          <w:lang w:val="en-US" w:eastAsia="zh-CN"/>
        </w:rPr>
        <w:t>. The gNB correlates the UL SRS measurements obtained in step 5 with the ground truth label obtained in step 6, and use them as data input for AI model training and/or performance monitoring.</w:t>
      </w:r>
    </w:p>
    <w:p w14:paraId="5F3BEEFF">
      <w:pPr>
        <w:numPr>
          <w:ilvl w:val="0"/>
          <w:numId w:val="5"/>
        </w:numPr>
        <w:overflowPunct w:val="0"/>
        <w:autoSpaceDE w:val="0"/>
        <w:autoSpaceDN w:val="0"/>
        <w:adjustRightInd w:val="0"/>
        <w:ind w:left="568" w:hanging="284"/>
        <w:textAlignment w:val="baseline"/>
        <w:rPr>
          <w:rFonts w:eastAsia="Times New Roman"/>
          <w:lang w:val="en-US" w:eastAsia="zh-CN"/>
        </w:rPr>
      </w:pPr>
      <w:r>
        <w:rPr>
          <w:rFonts w:hint="eastAsia"/>
          <w:lang w:val="en-US" w:eastAsia="zh-CN"/>
        </w:rPr>
        <w:t xml:space="preserve">If the data collection requirement in the gNB is updated (e.g. gNB decide to stop data collection), the gNB sends </w:t>
      </w:r>
      <w:r>
        <w:rPr>
          <w:rFonts w:hint="eastAsia" w:eastAsia="Times New Roman"/>
          <w:lang w:val="en-US" w:eastAsia="zh-CN"/>
        </w:rPr>
        <w:t xml:space="preserve">a Data Collection Requirement Update </w:t>
      </w:r>
      <w:r>
        <w:rPr>
          <w:rFonts w:hint="eastAsia" w:eastAsia="Times New Roman"/>
          <w:lang w:eastAsia="ja-JP"/>
        </w:rPr>
        <w:t>message</w:t>
      </w:r>
      <w:r>
        <w:rPr>
          <w:rFonts w:hint="eastAsia" w:eastAsia="Times New Roman"/>
          <w:lang w:val="en-US" w:eastAsia="zh-CN"/>
        </w:rPr>
        <w:t xml:space="preserve"> to the LMF.</w:t>
      </w:r>
    </w:p>
    <w:p w14:paraId="194C9BD5">
      <w:pPr>
        <w:overflowPunct w:val="0"/>
        <w:autoSpaceDE w:val="0"/>
        <w:autoSpaceDN w:val="0"/>
        <w:adjustRightInd w:val="0"/>
        <w:textAlignment w:val="baseline"/>
        <w:outlineLvl w:val="3"/>
        <w:rPr>
          <w:b/>
          <w:bCs/>
          <w:lang w:val="en-US" w:eastAsia="zh-CN"/>
        </w:rPr>
      </w:pPr>
      <w:r>
        <w:rPr>
          <w:rFonts w:hint="eastAsia"/>
          <w:b/>
          <w:bCs/>
          <w:lang w:val="en-US" w:eastAsia="zh-CN"/>
        </w:rPr>
        <w:t>Evaluation for solution #1</w:t>
      </w:r>
    </w:p>
    <w:tbl>
      <w:tblPr>
        <w:tblStyle w:val="46"/>
        <w:tblW w:w="88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9"/>
        <w:gridCol w:w="6400"/>
      </w:tblGrid>
      <w:tr w14:paraId="583E7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rPr>
        <w:tc>
          <w:tcPr>
            <w:tcW w:w="2419" w:type="dxa"/>
          </w:tcPr>
          <w:p w14:paraId="2B030323">
            <w:pPr>
              <w:rPr>
                <w:rFonts w:ascii="Cambria" w:hAnsi="Cambria"/>
              </w:rPr>
            </w:pPr>
          </w:p>
        </w:tc>
        <w:tc>
          <w:tcPr>
            <w:tcW w:w="6400" w:type="dxa"/>
          </w:tcPr>
          <w:p w14:paraId="2D9C1781">
            <w:pPr>
              <w:rPr>
                <w:rFonts w:ascii="Cambria" w:hAnsi="Cambria"/>
                <w:lang w:val="en-US" w:eastAsia="zh-CN"/>
              </w:rPr>
            </w:pPr>
            <w:r>
              <w:rPr>
                <w:rFonts w:ascii="Cambria" w:hAnsi="Cambria"/>
                <w:b/>
                <w:bCs/>
              </w:rPr>
              <w:t>Solution #</w:t>
            </w:r>
            <w:r>
              <w:rPr>
                <w:rFonts w:hint="eastAsia" w:ascii="Cambria" w:hAnsi="Cambria"/>
                <w:b/>
                <w:bCs/>
                <w:lang w:val="en-US" w:eastAsia="zh-CN"/>
              </w:rPr>
              <w:t>1</w:t>
            </w:r>
          </w:p>
        </w:tc>
      </w:tr>
      <w:tr w14:paraId="6D0B3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419" w:type="dxa"/>
          </w:tcPr>
          <w:p w14:paraId="6F38F276">
            <w:pPr>
              <w:rPr>
                <w:rFonts w:ascii="Cambria" w:hAnsi="Cambria"/>
              </w:rPr>
            </w:pPr>
            <w:r>
              <w:rPr>
                <w:rFonts w:ascii="Cambria" w:hAnsi="Cambria"/>
              </w:rPr>
              <w:t>Opportunistic</w:t>
            </w:r>
          </w:p>
        </w:tc>
        <w:tc>
          <w:tcPr>
            <w:tcW w:w="6400" w:type="dxa"/>
          </w:tcPr>
          <w:p w14:paraId="6FC7EBEF">
            <w:pPr>
              <w:rPr>
                <w:rFonts w:hint="default" w:ascii="Cambria" w:hAnsi="Cambria"/>
                <w:lang w:val="en-US" w:eastAsia="zh-CN"/>
              </w:rPr>
            </w:pPr>
            <w:r>
              <w:rPr>
                <w:rFonts w:hint="eastAsia" w:ascii="Cambria" w:hAnsi="Cambria"/>
                <w:b/>
                <w:bCs/>
                <w:lang w:val="en-US" w:eastAsia="zh-CN"/>
              </w:rPr>
              <w:t>YES</w:t>
            </w:r>
            <w:r>
              <w:rPr>
                <w:rFonts w:hint="eastAsia" w:ascii="Cambria" w:hAnsi="Cambria"/>
                <w:lang w:val="en-US" w:eastAsia="zh-CN"/>
              </w:rPr>
              <w:t>, the data collection requirement procedure may be performed at the very beginning, but gNB has no data collection requirement. Then, there may be multiple legacy positioning procedures, when data collection is needed, gNB sends the data collection requirement update to the LMF, after that, LMF perform UE selection and provides the data.</w:t>
            </w:r>
          </w:p>
          <w:p w14:paraId="76BA8848">
            <w:pPr>
              <w:rPr>
                <w:rFonts w:ascii="Cambria" w:hAnsi="Cambria"/>
                <w:lang w:val="en-US" w:eastAsia="zh-CN"/>
              </w:rPr>
            </w:pPr>
            <w:r>
              <w:object>
                <v:shape id="_x0000_i1031" o:spt="75" alt="" type="#_x0000_t75" style="height:203.1pt;width:253.85pt;" o:ole="t" filled="f" o:preferrelative="t" stroked="f" coordsize="21600,21600">
                  <v:path/>
                  <v:fill on="f" focussize="0,0"/>
                  <v:stroke on="f"/>
                  <v:imagedata r:id="rId14" o:title=""/>
                  <o:lock v:ext="edit" aspectratio="f"/>
                  <w10:wrap type="none"/>
                  <w10:anchorlock/>
                </v:shape>
                <o:OLEObject Type="Embed" ProgID="Visio.Drawing.15" ShapeID="_x0000_i1031" DrawAspect="Content" ObjectID="_1468075729" r:id="rId13">
                  <o:LockedField>false</o:LockedField>
                </o:OLEObject>
              </w:object>
            </w:r>
          </w:p>
        </w:tc>
      </w:tr>
      <w:tr w14:paraId="225AA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419" w:type="dxa"/>
          </w:tcPr>
          <w:p w14:paraId="622D3E71">
            <w:pPr>
              <w:rPr>
                <w:rFonts w:ascii="Cambria" w:hAnsi="Cambria"/>
              </w:rPr>
            </w:pPr>
            <w:r>
              <w:rPr>
                <w:rFonts w:ascii="Cambria" w:hAnsi="Cambria"/>
              </w:rPr>
              <w:t xml:space="preserve">Proactive </w:t>
            </w:r>
          </w:p>
        </w:tc>
        <w:tc>
          <w:tcPr>
            <w:tcW w:w="6400" w:type="dxa"/>
          </w:tcPr>
          <w:p w14:paraId="7CC1655D">
            <w:pPr>
              <w:rPr>
                <w:rFonts w:hint="default" w:ascii="Cambria" w:hAnsi="Cambria"/>
                <w:lang w:val="en-US" w:eastAsia="zh-CN"/>
              </w:rPr>
            </w:pPr>
            <w:r>
              <w:rPr>
                <w:rFonts w:ascii="Cambria" w:hAnsi="Cambria"/>
                <w:b/>
                <w:bCs/>
              </w:rPr>
              <w:t>YES</w:t>
            </w:r>
            <w:r>
              <w:rPr>
                <w:rFonts w:hint="eastAsia" w:ascii="Cambria" w:hAnsi="Cambria"/>
                <w:lang w:val="en-US" w:eastAsia="zh-CN"/>
              </w:rPr>
              <w:t>, both data collection requirement procedure and data collection requirement update procedure can be used before any on-going positioning procedure. The following figure is an example</w:t>
            </w:r>
          </w:p>
          <w:p w14:paraId="33C28E09">
            <w:pPr>
              <w:rPr>
                <w:rFonts w:hint="eastAsia" w:ascii="Cambria" w:hAnsi="Cambria"/>
                <w:lang w:val="en-US" w:eastAsia="zh-CN"/>
              </w:rPr>
            </w:pPr>
            <w:r>
              <w:object>
                <v:shape id="_x0000_i1032" o:spt="75" alt="" type="#_x0000_t75" style="height:203.1pt;width:253.85pt;" o:ole="t" filled="f" o:preferrelative="t" stroked="f" coordsize="21600,21600">
                  <v:path/>
                  <v:fill on="f" focussize="0,0"/>
                  <v:stroke on="f"/>
                  <v:imagedata r:id="rId16" o:title=""/>
                  <o:lock v:ext="edit" aspectratio="f"/>
                  <w10:wrap type="none"/>
                  <w10:anchorlock/>
                </v:shape>
                <o:OLEObject Type="Embed" ProgID="Visio.Drawing.15" ShapeID="_x0000_i1032" DrawAspect="Content" ObjectID="_1468075730" r:id="rId15">
                  <o:LockedField>false</o:LockedField>
                </o:OLEObject>
              </w:object>
            </w:r>
          </w:p>
        </w:tc>
      </w:tr>
      <w:tr w14:paraId="106CA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419" w:type="dxa"/>
          </w:tcPr>
          <w:p w14:paraId="0B79E93E">
            <w:pPr>
              <w:rPr>
                <w:rFonts w:ascii="Cambria" w:hAnsi="Cambria"/>
              </w:rPr>
            </w:pPr>
            <w:r>
              <w:rPr>
                <w:rFonts w:ascii="Cambria" w:hAnsi="Cambria"/>
              </w:rPr>
              <w:t>Data from served UEs</w:t>
            </w:r>
          </w:p>
        </w:tc>
        <w:tc>
          <w:tcPr>
            <w:tcW w:w="6400" w:type="dxa"/>
          </w:tcPr>
          <w:p w14:paraId="5EF5A29F">
            <w:pPr>
              <w:rPr>
                <w:rFonts w:ascii="Cambria" w:hAnsi="Cambria"/>
                <w:lang w:val="en-US" w:eastAsia="zh-CN"/>
              </w:rPr>
            </w:pPr>
            <w:r>
              <w:rPr>
                <w:rFonts w:ascii="Cambria" w:hAnsi="Cambria"/>
                <w:b/>
                <w:bCs/>
              </w:rPr>
              <w:t>YES</w:t>
            </w:r>
            <w:r>
              <w:rPr>
                <w:rFonts w:hint="eastAsia" w:ascii="Cambria" w:hAnsi="Cambria"/>
                <w:lang w:val="en-US" w:eastAsia="zh-CN"/>
              </w:rPr>
              <w:t>, LMF can select UE served by the gNB</w:t>
            </w:r>
          </w:p>
        </w:tc>
      </w:tr>
      <w:tr w14:paraId="3A4F2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419" w:type="dxa"/>
          </w:tcPr>
          <w:p w14:paraId="33A8766C">
            <w:pPr>
              <w:rPr>
                <w:rFonts w:ascii="Cambria" w:hAnsi="Cambria"/>
              </w:rPr>
            </w:pPr>
            <w:r>
              <w:rPr>
                <w:rFonts w:ascii="Cambria" w:hAnsi="Cambria"/>
              </w:rPr>
              <w:t>Data from non-served UEs</w:t>
            </w:r>
          </w:p>
        </w:tc>
        <w:tc>
          <w:tcPr>
            <w:tcW w:w="6400" w:type="dxa"/>
          </w:tcPr>
          <w:p w14:paraId="60D3D996">
            <w:pPr>
              <w:rPr>
                <w:rFonts w:ascii="Cambria" w:hAnsi="Cambria"/>
                <w:lang w:val="en-US" w:eastAsia="zh-CN"/>
              </w:rPr>
            </w:pPr>
            <w:r>
              <w:rPr>
                <w:rFonts w:hint="eastAsia" w:ascii="Cambria" w:hAnsi="Cambria"/>
                <w:b/>
                <w:bCs/>
                <w:lang w:val="en-US" w:eastAsia="zh-CN"/>
              </w:rPr>
              <w:t>YES</w:t>
            </w:r>
            <w:r>
              <w:rPr>
                <w:rFonts w:hint="eastAsia" w:ascii="Cambria" w:hAnsi="Cambria"/>
                <w:lang w:val="en-US" w:eastAsia="zh-CN"/>
              </w:rPr>
              <w:t>, LMF can select UE not served by the gNB</w:t>
            </w:r>
          </w:p>
        </w:tc>
      </w:tr>
      <w:tr w14:paraId="7C1D5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419" w:type="dxa"/>
          </w:tcPr>
          <w:p w14:paraId="0A788D7A">
            <w:pPr>
              <w:rPr>
                <w:rFonts w:ascii="Cambria" w:hAnsi="Cambria"/>
              </w:rPr>
            </w:pPr>
            <w:r>
              <w:rPr>
                <w:rFonts w:ascii="Cambria" w:hAnsi="Cambria"/>
              </w:rPr>
              <w:t>New or existing procedures</w:t>
            </w:r>
          </w:p>
        </w:tc>
        <w:tc>
          <w:tcPr>
            <w:tcW w:w="6400" w:type="dxa"/>
          </w:tcPr>
          <w:p w14:paraId="4DD83279">
            <w:pPr>
              <w:rPr>
                <w:rFonts w:ascii="Cambria" w:hAnsi="Cambria"/>
                <w:lang w:val="en-US" w:eastAsia="zh-CN"/>
              </w:rPr>
            </w:pPr>
            <w:r>
              <w:rPr>
                <w:rFonts w:hint="eastAsia" w:ascii="Cambria" w:hAnsi="Cambria"/>
                <w:lang w:val="en-US" w:eastAsia="zh-CN"/>
              </w:rPr>
              <w:t>- introduce a class 1 NRPPa procedure for data collection requirement</w:t>
            </w:r>
          </w:p>
          <w:p w14:paraId="7A152BC9">
            <w:pPr>
              <w:rPr>
                <w:rFonts w:ascii="Cambria" w:hAnsi="Cambria"/>
                <w:lang w:val="en-US" w:eastAsia="zh-CN"/>
              </w:rPr>
            </w:pPr>
            <w:r>
              <w:rPr>
                <w:rFonts w:hint="eastAsia" w:ascii="Cambria" w:hAnsi="Cambria"/>
                <w:lang w:val="en-US" w:eastAsia="zh-CN"/>
              </w:rPr>
              <w:t>- introduce a class 2 NRPPa procedure to update data collection requirement</w:t>
            </w:r>
          </w:p>
          <w:p w14:paraId="728BED72">
            <w:pPr>
              <w:rPr>
                <w:rFonts w:ascii="Cambria" w:hAnsi="Cambria"/>
                <w:lang w:val="en-US" w:eastAsia="zh-CN"/>
              </w:rPr>
            </w:pPr>
            <w:r>
              <w:rPr>
                <w:rFonts w:hint="eastAsia" w:ascii="Cambria" w:hAnsi="Cambria"/>
                <w:lang w:val="en-US" w:eastAsia="zh-CN"/>
              </w:rPr>
              <w:t>- introduce a class 2 NRPPa procedure to transfer the ground truth label.</w:t>
            </w:r>
          </w:p>
          <w:p w14:paraId="7D21288B">
            <w:pPr>
              <w:rPr>
                <w:rFonts w:ascii="Cambria" w:hAnsi="Cambria"/>
                <w:lang w:val="en-US" w:eastAsia="zh-CN"/>
              </w:rPr>
            </w:pPr>
            <w:r>
              <w:rPr>
                <w:rFonts w:hint="eastAsia" w:ascii="Cambria" w:hAnsi="Cambria"/>
                <w:lang w:val="en-US" w:eastAsia="zh-CN"/>
              </w:rPr>
              <w:t>- correlation information is needed</w:t>
            </w:r>
          </w:p>
        </w:tc>
      </w:tr>
    </w:tbl>
    <w:p w14:paraId="0DED0B9B">
      <w:pPr>
        <w:jc w:val="both"/>
        <w:outlineLvl w:val="2"/>
        <w:rPr>
          <w:b/>
          <w:bCs/>
          <w:lang w:val="en-US" w:eastAsia="zh-CN"/>
        </w:rPr>
      </w:pPr>
      <w:r>
        <w:rPr>
          <w:rFonts w:hint="eastAsia"/>
          <w:b/>
          <w:bCs/>
          <w:lang w:val="en-US" w:eastAsia="zh-CN"/>
        </w:rPr>
        <w:t>Solution 2:</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1"/>
        <w:gridCol w:w="4568"/>
      </w:tblGrid>
      <w:tr w14:paraId="772D6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4571" w:type="dxa"/>
          </w:tcPr>
          <w:p w14:paraId="59E2E7FD">
            <w:pPr>
              <w:jc w:val="center"/>
              <w:rPr>
                <w:rFonts w:ascii="Cambria" w:hAnsi="Cambria"/>
                <w:b/>
                <w:bCs/>
                <w:lang w:val="en-US" w:eastAsia="zh-CN"/>
              </w:rPr>
            </w:pPr>
            <w:r>
              <w:rPr>
                <w:rFonts w:hint="eastAsia" w:ascii="Cambria" w:hAnsi="Cambria"/>
                <w:b/>
                <w:bCs/>
                <w:lang w:val="en-US" w:eastAsia="zh-CN"/>
              </w:rPr>
              <w:t>Procedure for data collection requirement</w:t>
            </w:r>
          </w:p>
        </w:tc>
        <w:tc>
          <w:tcPr>
            <w:tcW w:w="4568" w:type="dxa"/>
          </w:tcPr>
          <w:p w14:paraId="70EAB4F7">
            <w:pPr>
              <w:jc w:val="center"/>
              <w:rPr>
                <w:rFonts w:ascii="Cambria" w:hAnsi="Cambria"/>
                <w:b/>
                <w:bCs/>
                <w:lang w:val="en-US" w:eastAsia="zh-CN"/>
              </w:rPr>
            </w:pPr>
            <w:r>
              <w:rPr>
                <w:rFonts w:hint="eastAsia" w:ascii="Cambria" w:hAnsi="Cambria"/>
                <w:b/>
                <w:bCs/>
                <w:lang w:val="en-US" w:eastAsia="zh-CN"/>
              </w:rPr>
              <w:t>Procedure for ground truth label transfer</w:t>
            </w:r>
          </w:p>
        </w:tc>
      </w:tr>
      <w:tr w14:paraId="08AB5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571" w:type="dxa"/>
          </w:tcPr>
          <w:p w14:paraId="232FD6A0">
            <w:pPr>
              <w:jc w:val="both"/>
              <w:rPr>
                <w:rFonts w:ascii="Cambria" w:hAnsi="Cambria"/>
                <w:lang w:val="en-US" w:eastAsia="zh-CN"/>
              </w:rPr>
            </w:pPr>
            <w:r>
              <w:rPr>
                <w:rFonts w:hint="eastAsia" w:ascii="Cambria" w:hAnsi="Cambria"/>
                <w:lang w:val="en-US" w:eastAsia="zh-CN"/>
              </w:rPr>
              <w:t>Class 1 NGAP data collection procedure + new interaction between AMF and LMF (SA2 impacts)</w:t>
            </w:r>
          </w:p>
        </w:tc>
        <w:tc>
          <w:tcPr>
            <w:tcW w:w="4568" w:type="dxa"/>
          </w:tcPr>
          <w:p w14:paraId="7D49861F">
            <w:pPr>
              <w:jc w:val="both"/>
              <w:rPr>
                <w:rFonts w:ascii="Cambria" w:hAnsi="Cambria"/>
                <w:lang w:val="en-US" w:eastAsia="zh-CN"/>
              </w:rPr>
            </w:pPr>
            <w:r>
              <w:rPr>
                <w:rFonts w:hint="eastAsia" w:ascii="Cambria" w:hAnsi="Cambria"/>
                <w:lang w:val="en-US" w:eastAsia="zh-CN"/>
              </w:rPr>
              <w:t>Include ground truth label in NGAP data collection response message, correlation information is needed</w:t>
            </w:r>
          </w:p>
        </w:tc>
      </w:tr>
    </w:tbl>
    <w:p w14:paraId="302F2815">
      <w:pPr>
        <w:jc w:val="center"/>
      </w:pPr>
      <w:r>
        <w:object>
          <v:shape id="_x0000_i1030" o:spt="75" type="#_x0000_t75" style="height:307.9pt;width:423pt;" o:ole="t" filled="f" o:preferrelative="t" stroked="f" coordsize="21600,21600">
            <v:path/>
            <v:fill on="f" focussize="0,0"/>
            <v:stroke on="f" joinstyle="miter"/>
            <v:imagedata r:id="rId18" o:title=""/>
            <o:lock v:ext="edit" aspectratio="f"/>
            <w10:wrap type="none"/>
            <w10:anchorlock/>
          </v:shape>
          <o:OLEObject Type="Embed" ProgID="Visio.Drawing.15" ShapeID="_x0000_i1030" DrawAspect="Content" ObjectID="_1468075731" r:id="rId17">
            <o:LockedField>false</o:LockedField>
          </o:OLEObject>
        </w:object>
      </w:r>
    </w:p>
    <w:p w14:paraId="4945F4C4">
      <w:pPr>
        <w:pStyle w:val="28"/>
        <w:jc w:val="center"/>
        <w:rPr>
          <w:rFonts w:hint="default" w:eastAsia="宋体"/>
          <w:lang w:val="en-US" w:eastAsia="zh-CN"/>
        </w:rPr>
      </w:pPr>
      <w:r>
        <w:rPr>
          <w:rFonts w:hint="eastAsia"/>
          <w:lang w:val="en-US" w:eastAsia="zh-CN"/>
        </w:rPr>
        <w:t>Figure</w:t>
      </w:r>
      <w:r>
        <w:t xml:space="preserve"> </w:t>
      </w:r>
      <w:r>
        <w:fldChar w:fldCharType="begin"/>
      </w:r>
      <w:r>
        <w:instrText xml:space="preserve"> SEQ 图 \* ARABIC </w:instrText>
      </w:r>
      <w:r>
        <w:fldChar w:fldCharType="separate"/>
      </w:r>
      <w:r>
        <w:t>4</w:t>
      </w:r>
      <w:r>
        <w:fldChar w:fldCharType="end"/>
      </w:r>
      <w:r>
        <w:rPr>
          <w:rFonts w:hint="eastAsia"/>
          <w:lang w:val="en-US" w:eastAsia="zh-CN"/>
        </w:rPr>
        <w:t xml:space="preserve"> NGAP-based solution</w:t>
      </w:r>
    </w:p>
    <w:p w14:paraId="1C218D64">
      <w:pPr>
        <w:numPr>
          <w:ilvl w:val="0"/>
          <w:numId w:val="6"/>
        </w:numPr>
        <w:overflowPunct w:val="0"/>
        <w:autoSpaceDE w:val="0"/>
        <w:autoSpaceDN w:val="0"/>
        <w:adjustRightInd w:val="0"/>
        <w:ind w:left="568" w:hanging="284"/>
        <w:textAlignment w:val="baseline"/>
        <w:rPr>
          <w:rFonts w:eastAsia="Times New Roman"/>
          <w:lang w:val="en-US" w:eastAsia="zh-CN"/>
        </w:rPr>
      </w:pPr>
      <w:r>
        <w:rPr>
          <w:rFonts w:hint="eastAsia"/>
          <w:lang w:val="en-US" w:eastAsia="zh-CN"/>
        </w:rPr>
        <w:t xml:space="preserve">A gNB sends a NGAP </w:t>
      </w:r>
      <w:r>
        <w:rPr>
          <w:rFonts w:hint="eastAsia" w:eastAsia="Times New Roman"/>
          <w:lang w:val="en-US" w:eastAsia="zh-CN"/>
        </w:rPr>
        <w:t>Data Collection Request message to a AMF when data collection is required</w:t>
      </w:r>
    </w:p>
    <w:p w14:paraId="4E39EE0C">
      <w:pPr>
        <w:numPr>
          <w:ilvl w:val="0"/>
          <w:numId w:val="6"/>
        </w:numPr>
        <w:overflowPunct w:val="0"/>
        <w:autoSpaceDE w:val="0"/>
        <w:autoSpaceDN w:val="0"/>
        <w:adjustRightInd w:val="0"/>
        <w:ind w:left="568" w:hanging="284"/>
        <w:textAlignment w:val="baseline"/>
        <w:rPr>
          <w:rFonts w:eastAsia="Times New Roman"/>
          <w:lang w:val="en-US" w:eastAsia="zh-CN"/>
        </w:rPr>
      </w:pPr>
      <w:r>
        <w:rPr>
          <w:rFonts w:hint="eastAsia" w:eastAsia="Times New Roman"/>
          <w:lang w:val="en-US" w:eastAsia="zh-CN"/>
        </w:rPr>
        <w:t>The AMF performs the LMF selection.</w:t>
      </w:r>
    </w:p>
    <w:p w14:paraId="1F6E2F75">
      <w:pPr>
        <w:overflowPunct w:val="0"/>
        <w:autoSpaceDE w:val="0"/>
        <w:autoSpaceDN w:val="0"/>
        <w:adjustRightInd w:val="0"/>
        <w:textAlignment w:val="baseline"/>
        <w:rPr>
          <w:rFonts w:eastAsia="Times New Roman"/>
          <w:lang w:val="en-US" w:eastAsia="zh-CN"/>
        </w:rPr>
      </w:pPr>
      <w:r>
        <w:rPr>
          <w:rFonts w:hint="eastAsia" w:eastAsia="Times New Roman"/>
          <w:lang w:val="en-US" w:eastAsia="zh-CN"/>
        </w:rPr>
        <w:t xml:space="preserve">     Editor Note 1, how AMF select LMF depends on the SA2.</w:t>
      </w:r>
    </w:p>
    <w:p w14:paraId="611F60F6">
      <w:pPr>
        <w:numPr>
          <w:ilvl w:val="0"/>
          <w:numId w:val="6"/>
        </w:numPr>
        <w:overflowPunct w:val="0"/>
        <w:autoSpaceDE w:val="0"/>
        <w:autoSpaceDN w:val="0"/>
        <w:adjustRightInd w:val="0"/>
        <w:ind w:left="568" w:hanging="284"/>
        <w:textAlignment w:val="baseline"/>
        <w:rPr>
          <w:rFonts w:eastAsia="Times New Roman"/>
          <w:lang w:val="en-US" w:eastAsia="zh-CN"/>
        </w:rPr>
      </w:pPr>
      <w:r>
        <w:rPr>
          <w:rFonts w:hint="eastAsia"/>
          <w:lang w:val="en-US" w:eastAsia="zh-CN"/>
        </w:rPr>
        <w:t>The AMF forwards the data collection request of the gNB to the selected LMF</w:t>
      </w:r>
      <w:r>
        <w:rPr>
          <w:rFonts w:hint="eastAsia" w:eastAsia="Times New Roman"/>
          <w:lang w:val="en-US" w:eastAsia="zh-CN"/>
        </w:rPr>
        <w:t>.</w:t>
      </w:r>
    </w:p>
    <w:p w14:paraId="0BD7A5D2">
      <w:pPr>
        <w:overflowPunct w:val="0"/>
        <w:autoSpaceDE w:val="0"/>
        <w:autoSpaceDN w:val="0"/>
        <w:adjustRightInd w:val="0"/>
        <w:ind w:left="284"/>
        <w:textAlignment w:val="baseline"/>
        <w:rPr>
          <w:rFonts w:eastAsia="Times New Roman"/>
          <w:lang w:val="en-US" w:eastAsia="zh-CN"/>
        </w:rPr>
      </w:pPr>
      <w:r>
        <w:rPr>
          <w:rFonts w:hint="eastAsia" w:eastAsia="Times New Roman"/>
          <w:lang w:val="en-US" w:eastAsia="zh-CN"/>
        </w:rPr>
        <w:t xml:space="preserve">Editor Note 2, the details are in SA2 scope. </w:t>
      </w:r>
    </w:p>
    <w:p w14:paraId="6B0124B4">
      <w:pPr>
        <w:numPr>
          <w:ilvl w:val="0"/>
          <w:numId w:val="6"/>
        </w:numPr>
        <w:overflowPunct w:val="0"/>
        <w:autoSpaceDE w:val="0"/>
        <w:autoSpaceDN w:val="0"/>
        <w:adjustRightInd w:val="0"/>
        <w:ind w:left="568" w:hanging="284"/>
        <w:textAlignment w:val="baseline"/>
        <w:rPr>
          <w:rFonts w:eastAsia="Times New Roman"/>
          <w:lang w:eastAsia="ja-JP"/>
        </w:rPr>
      </w:pPr>
      <w:r>
        <w:rPr>
          <w:rFonts w:hint="eastAsia" w:eastAsia="Times New Roman"/>
          <w:lang w:val="en-US" w:eastAsia="zh-CN"/>
        </w:rPr>
        <w:t xml:space="preserve">The LMF perform UE selection as described in TS 23.273 (e.g. step 1-5 in section 6.22.3) considering the data collection requirement information received from the gNB. </w:t>
      </w:r>
    </w:p>
    <w:p w14:paraId="25EA0F2B">
      <w:pPr>
        <w:overflowPunct w:val="0"/>
        <w:autoSpaceDE w:val="0"/>
        <w:autoSpaceDN w:val="0"/>
        <w:adjustRightInd w:val="0"/>
        <w:ind w:left="284"/>
        <w:textAlignment w:val="baseline"/>
        <w:rPr>
          <w:lang w:val="en-US" w:eastAsia="zh-CN"/>
        </w:rPr>
      </w:pPr>
      <w:r>
        <w:rPr>
          <w:rFonts w:hint="eastAsia"/>
          <w:lang w:val="en-US" w:eastAsia="zh-CN"/>
        </w:rPr>
        <w:t>NOTE 1, The selected UE can be either PRU or UE with user consent.</w:t>
      </w:r>
    </w:p>
    <w:p w14:paraId="1F54AF2D">
      <w:pPr>
        <w:overflowPunct w:val="0"/>
        <w:autoSpaceDE w:val="0"/>
        <w:autoSpaceDN w:val="0"/>
        <w:adjustRightInd w:val="0"/>
        <w:ind w:left="284"/>
        <w:textAlignment w:val="baseline"/>
        <w:rPr>
          <w:lang w:val="en-US" w:eastAsia="ja-JP"/>
        </w:rPr>
      </w:pPr>
      <w:r>
        <w:rPr>
          <w:rFonts w:hint="eastAsia"/>
          <w:lang w:val="en-US" w:eastAsia="zh-CN"/>
        </w:rPr>
        <w:t>NOTE 2, The selected UE may be or may be not served by the gNB.</w:t>
      </w:r>
    </w:p>
    <w:p w14:paraId="0ED120ED">
      <w:pPr>
        <w:numPr>
          <w:ilvl w:val="0"/>
          <w:numId w:val="6"/>
        </w:numPr>
        <w:overflowPunct w:val="0"/>
        <w:autoSpaceDE w:val="0"/>
        <w:autoSpaceDN w:val="0"/>
        <w:adjustRightInd w:val="0"/>
        <w:ind w:left="568" w:hanging="284"/>
        <w:textAlignment w:val="baseline"/>
        <w:rPr>
          <w:rFonts w:eastAsia="Times New Roman"/>
          <w:lang w:eastAsia="ja-JP"/>
        </w:rPr>
      </w:pPr>
      <w:r>
        <w:rPr>
          <w:rFonts w:hint="eastAsia" w:eastAsia="Times New Roman"/>
          <w:lang w:val="en-US" w:eastAsia="zh-CN"/>
        </w:rPr>
        <w:t xml:space="preserve">The LMF may initiate UE positioning procedures for the selected UE as specified in TS 23.273 section 6.11 to obtain the UE location (i.e. the ground truth label). </w:t>
      </w:r>
    </w:p>
    <w:p w14:paraId="07E8D3D5">
      <w:pPr>
        <w:numPr>
          <w:ilvl w:val="0"/>
          <w:numId w:val="6"/>
        </w:numPr>
        <w:overflowPunct w:val="0"/>
        <w:autoSpaceDE w:val="0"/>
        <w:autoSpaceDN w:val="0"/>
        <w:adjustRightInd w:val="0"/>
        <w:ind w:left="568" w:hanging="284"/>
        <w:textAlignment w:val="baseline"/>
        <w:rPr>
          <w:rFonts w:eastAsia="Times New Roman"/>
          <w:lang w:eastAsia="ja-JP"/>
        </w:rPr>
      </w:pPr>
      <w:r>
        <w:rPr>
          <w:rFonts w:hint="eastAsia"/>
          <w:lang w:val="en-US" w:eastAsia="zh-CN"/>
        </w:rPr>
        <w:t>The LMF initiates UL positioning procedures for the selected UE to configure UL SRS as</w:t>
      </w:r>
      <w:r>
        <w:rPr>
          <w:rFonts w:hint="eastAsia" w:eastAsia="Times New Roman"/>
          <w:lang w:val="en-US" w:eastAsia="zh-CN"/>
        </w:rPr>
        <w:t xml:space="preserve"> specified in TS 23.273 section 6.11.2 and 6.11.3.</w:t>
      </w:r>
    </w:p>
    <w:p w14:paraId="0A133A8B">
      <w:pPr>
        <w:numPr>
          <w:ilvl w:val="0"/>
          <w:numId w:val="6"/>
        </w:numPr>
        <w:overflowPunct w:val="0"/>
        <w:autoSpaceDE w:val="0"/>
        <w:autoSpaceDN w:val="0"/>
        <w:adjustRightInd w:val="0"/>
        <w:ind w:left="568" w:hanging="284"/>
        <w:textAlignment w:val="baseline"/>
        <w:rPr>
          <w:rFonts w:eastAsia="Times New Roman"/>
          <w:lang w:val="en-US" w:eastAsia="zh-CN"/>
        </w:rPr>
      </w:pPr>
      <w:r>
        <w:rPr>
          <w:rFonts w:hint="eastAsia" w:eastAsia="Times New Roman"/>
          <w:lang w:val="en-US" w:eastAsia="zh-CN"/>
        </w:rPr>
        <w:t xml:space="preserve">The LMF response to the AMF with the ground truth label along with the correlation information (e.g. </w:t>
      </w:r>
      <w:r>
        <w:rPr>
          <w:rFonts w:eastAsia="Times New Roman"/>
          <w:lang w:val="en-US" w:eastAsia="zh-CN"/>
        </w:rPr>
        <w:t>Routing ID, NRPPa Transaction ID, measurement ID(s), timestamps</w:t>
      </w:r>
      <w:r>
        <w:rPr>
          <w:rFonts w:hint="eastAsia" w:eastAsia="Times New Roman"/>
          <w:lang w:val="en-US" w:eastAsia="zh-CN"/>
        </w:rPr>
        <w:t>)</w:t>
      </w:r>
    </w:p>
    <w:p w14:paraId="1EB9A7C3">
      <w:pPr>
        <w:numPr>
          <w:ilvl w:val="0"/>
          <w:numId w:val="6"/>
        </w:numPr>
        <w:overflowPunct w:val="0"/>
        <w:autoSpaceDE w:val="0"/>
        <w:autoSpaceDN w:val="0"/>
        <w:adjustRightInd w:val="0"/>
        <w:ind w:left="568" w:hanging="284"/>
        <w:textAlignment w:val="baseline"/>
        <w:rPr>
          <w:rFonts w:eastAsia="Times New Roman"/>
          <w:lang w:val="en-US" w:eastAsia="zh-CN"/>
        </w:rPr>
      </w:pPr>
      <w:r>
        <w:rPr>
          <w:rFonts w:hint="eastAsia" w:eastAsia="Times New Roman"/>
          <w:lang w:val="en-US" w:eastAsia="zh-CN"/>
        </w:rPr>
        <w:t>The AMF forewords the the ground truth label along with the correlation information to the gNB in the NGAP Data Collection Response. The gNB correlates the UL SRS measurements obtained in step 5 with the ground truth label obtained in step 8, and use them as data input for AI model training and/or performance monitoring.</w:t>
      </w:r>
    </w:p>
    <w:p w14:paraId="53659F55">
      <w:pPr>
        <w:overflowPunct w:val="0"/>
        <w:autoSpaceDE w:val="0"/>
        <w:autoSpaceDN w:val="0"/>
        <w:adjustRightInd w:val="0"/>
        <w:textAlignment w:val="baseline"/>
        <w:outlineLvl w:val="3"/>
        <w:rPr>
          <w:b/>
          <w:bCs/>
          <w:lang w:val="en-US" w:eastAsia="zh-CN"/>
        </w:rPr>
      </w:pPr>
      <w:r>
        <w:rPr>
          <w:rFonts w:hint="eastAsia"/>
          <w:b/>
          <w:bCs/>
          <w:lang w:val="en-US" w:eastAsia="zh-CN"/>
        </w:rPr>
        <w:t>Evaluation for solution#3</w:t>
      </w:r>
    </w:p>
    <w:tbl>
      <w:tblPr>
        <w:tblStyle w:val="46"/>
        <w:tblW w:w="88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9"/>
        <w:gridCol w:w="6400"/>
      </w:tblGrid>
      <w:tr w14:paraId="3A08F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419" w:type="dxa"/>
          </w:tcPr>
          <w:p w14:paraId="7C9E6242">
            <w:pPr>
              <w:rPr>
                <w:rFonts w:ascii="Cambria" w:hAnsi="Cambria"/>
              </w:rPr>
            </w:pPr>
          </w:p>
        </w:tc>
        <w:tc>
          <w:tcPr>
            <w:tcW w:w="6400" w:type="dxa"/>
          </w:tcPr>
          <w:p w14:paraId="632C6AC5">
            <w:pPr>
              <w:rPr>
                <w:rFonts w:ascii="Cambria" w:hAnsi="Cambria"/>
                <w:lang w:val="en-US" w:eastAsia="zh-CN"/>
              </w:rPr>
            </w:pPr>
            <w:r>
              <w:rPr>
                <w:rFonts w:ascii="Cambria" w:hAnsi="Cambria"/>
                <w:b/>
                <w:bCs/>
              </w:rPr>
              <w:t>Solution #</w:t>
            </w:r>
            <w:r>
              <w:rPr>
                <w:rFonts w:hint="eastAsia" w:ascii="Cambria" w:hAnsi="Cambria"/>
                <w:b/>
                <w:bCs/>
                <w:lang w:val="en-US" w:eastAsia="zh-CN"/>
              </w:rPr>
              <w:t>2</w:t>
            </w:r>
          </w:p>
        </w:tc>
      </w:tr>
      <w:tr w14:paraId="7671E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419" w:type="dxa"/>
          </w:tcPr>
          <w:p w14:paraId="06007350">
            <w:pPr>
              <w:rPr>
                <w:rFonts w:ascii="Cambria" w:hAnsi="Cambria"/>
              </w:rPr>
            </w:pPr>
            <w:r>
              <w:rPr>
                <w:rFonts w:ascii="Cambria" w:hAnsi="Cambria"/>
              </w:rPr>
              <w:t>Opportunistic</w:t>
            </w:r>
          </w:p>
        </w:tc>
        <w:tc>
          <w:tcPr>
            <w:tcW w:w="6400" w:type="dxa"/>
          </w:tcPr>
          <w:p w14:paraId="5A547DFB">
            <w:pPr>
              <w:rPr>
                <w:rFonts w:ascii="Cambria" w:hAnsi="Cambria"/>
                <w:lang w:val="en-US" w:eastAsia="zh-CN"/>
              </w:rPr>
            </w:pPr>
            <w:r>
              <w:rPr>
                <w:rFonts w:hint="eastAsia" w:ascii="Cambria" w:hAnsi="Cambria"/>
                <w:b/>
                <w:bCs/>
                <w:lang w:val="en-US" w:eastAsia="zh-CN"/>
              </w:rPr>
              <w:t>YES</w:t>
            </w:r>
            <w:r>
              <w:rPr>
                <w:rFonts w:hint="eastAsia" w:ascii="Cambria" w:hAnsi="Cambria"/>
                <w:lang w:val="en-US" w:eastAsia="zh-CN"/>
              </w:rPr>
              <w:t>, gNB may include the LMF routing ID and measurement ID in the data collection to AMF.</w:t>
            </w:r>
          </w:p>
        </w:tc>
      </w:tr>
      <w:tr w14:paraId="3BADA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419" w:type="dxa"/>
          </w:tcPr>
          <w:p w14:paraId="0C04DCD3">
            <w:pPr>
              <w:rPr>
                <w:rFonts w:ascii="Cambria" w:hAnsi="Cambria"/>
              </w:rPr>
            </w:pPr>
            <w:r>
              <w:rPr>
                <w:rFonts w:ascii="Cambria" w:hAnsi="Cambria"/>
              </w:rPr>
              <w:t xml:space="preserve">Proactive </w:t>
            </w:r>
          </w:p>
        </w:tc>
        <w:tc>
          <w:tcPr>
            <w:tcW w:w="6400" w:type="dxa"/>
          </w:tcPr>
          <w:p w14:paraId="319852CF">
            <w:pPr>
              <w:rPr>
                <w:rFonts w:ascii="Cambria" w:hAnsi="Cambria"/>
                <w:lang w:val="en-US" w:eastAsia="zh-CN"/>
              </w:rPr>
            </w:pPr>
            <w:r>
              <w:rPr>
                <w:rFonts w:ascii="Cambria" w:hAnsi="Cambria"/>
                <w:b/>
                <w:bCs/>
              </w:rPr>
              <w:t>YES</w:t>
            </w:r>
            <w:r>
              <w:rPr>
                <w:rFonts w:hint="eastAsia" w:ascii="Cambria" w:hAnsi="Cambria"/>
                <w:lang w:val="en-US" w:eastAsia="zh-CN"/>
              </w:rPr>
              <w:t>, data collection procedure can be used when there</w:t>
            </w:r>
            <w:r>
              <w:rPr>
                <w:rFonts w:ascii="Cambria" w:hAnsi="Cambria"/>
                <w:lang w:val="en-US" w:eastAsia="zh-CN"/>
              </w:rPr>
              <w:t>’</w:t>
            </w:r>
            <w:r>
              <w:rPr>
                <w:rFonts w:hint="eastAsia" w:ascii="Cambria" w:hAnsi="Cambria"/>
                <w:lang w:val="en-US" w:eastAsia="zh-CN"/>
              </w:rPr>
              <w:t>s data requirement</w:t>
            </w:r>
          </w:p>
        </w:tc>
      </w:tr>
      <w:tr w14:paraId="70A68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419" w:type="dxa"/>
          </w:tcPr>
          <w:p w14:paraId="0FC4DB9C">
            <w:pPr>
              <w:rPr>
                <w:rFonts w:ascii="Cambria" w:hAnsi="Cambria"/>
              </w:rPr>
            </w:pPr>
            <w:r>
              <w:rPr>
                <w:rFonts w:ascii="Cambria" w:hAnsi="Cambria"/>
              </w:rPr>
              <w:t>Data from served UEs</w:t>
            </w:r>
          </w:p>
        </w:tc>
        <w:tc>
          <w:tcPr>
            <w:tcW w:w="6400" w:type="dxa"/>
          </w:tcPr>
          <w:p w14:paraId="0E29B236">
            <w:pPr>
              <w:rPr>
                <w:rFonts w:ascii="Cambria" w:hAnsi="Cambria"/>
                <w:lang w:val="en-US" w:eastAsia="zh-CN"/>
              </w:rPr>
            </w:pPr>
            <w:r>
              <w:rPr>
                <w:rFonts w:ascii="Cambria" w:hAnsi="Cambria"/>
                <w:b/>
                <w:bCs/>
              </w:rPr>
              <w:t>YES</w:t>
            </w:r>
            <w:r>
              <w:rPr>
                <w:rFonts w:hint="eastAsia" w:ascii="Cambria" w:hAnsi="Cambria"/>
                <w:lang w:val="en-US" w:eastAsia="zh-CN"/>
              </w:rPr>
              <w:t>, LMF can select UE served by the gNB</w:t>
            </w:r>
          </w:p>
        </w:tc>
      </w:tr>
      <w:tr w14:paraId="2D05A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419" w:type="dxa"/>
          </w:tcPr>
          <w:p w14:paraId="3E9BD7BC">
            <w:pPr>
              <w:rPr>
                <w:rFonts w:ascii="Cambria" w:hAnsi="Cambria"/>
              </w:rPr>
            </w:pPr>
            <w:r>
              <w:rPr>
                <w:rFonts w:ascii="Cambria" w:hAnsi="Cambria"/>
              </w:rPr>
              <w:t>Data from non-served UEs</w:t>
            </w:r>
          </w:p>
        </w:tc>
        <w:tc>
          <w:tcPr>
            <w:tcW w:w="6400" w:type="dxa"/>
          </w:tcPr>
          <w:p w14:paraId="7BB0143F">
            <w:pPr>
              <w:rPr>
                <w:rFonts w:ascii="Cambria" w:hAnsi="Cambria"/>
                <w:lang w:val="en-US" w:eastAsia="zh-CN"/>
              </w:rPr>
            </w:pPr>
            <w:r>
              <w:rPr>
                <w:rFonts w:hint="eastAsia" w:ascii="Cambria" w:hAnsi="Cambria"/>
                <w:b/>
                <w:bCs/>
                <w:lang w:val="en-US" w:eastAsia="zh-CN"/>
              </w:rPr>
              <w:t>YES</w:t>
            </w:r>
            <w:r>
              <w:rPr>
                <w:rFonts w:hint="eastAsia" w:ascii="Cambria" w:hAnsi="Cambria"/>
                <w:lang w:val="en-US" w:eastAsia="zh-CN"/>
              </w:rPr>
              <w:t>, LMF can select UE not served by the gNB</w:t>
            </w:r>
          </w:p>
        </w:tc>
      </w:tr>
      <w:tr w14:paraId="2DAF5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419" w:type="dxa"/>
          </w:tcPr>
          <w:p w14:paraId="4C63434F">
            <w:pPr>
              <w:rPr>
                <w:rFonts w:ascii="Cambria" w:hAnsi="Cambria"/>
                <w:lang w:val="en-US" w:eastAsia="zh-CN"/>
              </w:rPr>
            </w:pPr>
            <w:r>
              <w:rPr>
                <w:rFonts w:ascii="Cambria" w:hAnsi="Cambria"/>
              </w:rPr>
              <w:t>New or existing procedures</w:t>
            </w:r>
          </w:p>
        </w:tc>
        <w:tc>
          <w:tcPr>
            <w:tcW w:w="6400" w:type="dxa"/>
          </w:tcPr>
          <w:p w14:paraId="171A1627">
            <w:pPr>
              <w:rPr>
                <w:rFonts w:ascii="Cambria" w:hAnsi="Cambria"/>
                <w:lang w:val="en-US" w:eastAsia="zh-CN"/>
              </w:rPr>
            </w:pPr>
            <w:r>
              <w:rPr>
                <w:rFonts w:hint="eastAsia" w:ascii="Cambria" w:hAnsi="Cambria"/>
                <w:lang w:val="en-US" w:eastAsia="zh-CN"/>
              </w:rPr>
              <w:t xml:space="preserve">- introduce a class 1 NGAP procedure to update data collection </w:t>
            </w:r>
          </w:p>
          <w:p w14:paraId="5ED09196">
            <w:pPr>
              <w:rPr>
                <w:rFonts w:hint="eastAsia" w:ascii="Cambria" w:hAnsi="Cambria"/>
                <w:lang w:val="en-US" w:eastAsia="zh-CN"/>
              </w:rPr>
            </w:pPr>
            <w:r>
              <w:rPr>
                <w:rFonts w:hint="eastAsia" w:ascii="Cambria" w:hAnsi="Cambria"/>
                <w:lang w:val="en-US" w:eastAsia="zh-CN"/>
              </w:rPr>
              <w:t xml:space="preserve">- include the ground truth label in data collection response message. </w:t>
            </w:r>
          </w:p>
          <w:p w14:paraId="3A9E9FBD">
            <w:pPr>
              <w:rPr>
                <w:rFonts w:hint="eastAsia" w:ascii="Cambria" w:hAnsi="Cambria"/>
                <w:lang w:val="en-US" w:eastAsia="zh-CN"/>
              </w:rPr>
            </w:pPr>
            <w:r>
              <w:rPr>
                <w:rFonts w:hint="eastAsia" w:ascii="Cambria" w:hAnsi="Cambria"/>
                <w:lang w:val="en-US" w:eastAsia="zh-CN"/>
              </w:rPr>
              <w:t>- additional correlation information is needed</w:t>
            </w:r>
          </w:p>
          <w:p w14:paraId="026E02E9">
            <w:pPr>
              <w:rPr>
                <w:rFonts w:ascii="Cambria" w:hAnsi="Cambria"/>
                <w:b/>
                <w:bCs/>
                <w:lang w:val="en-US" w:eastAsia="zh-CN"/>
              </w:rPr>
            </w:pPr>
            <w:r>
              <w:rPr>
                <w:rFonts w:hint="eastAsia" w:ascii="Cambria" w:hAnsi="Cambria"/>
                <w:b/>
                <w:bCs/>
                <w:lang w:val="en-US" w:eastAsia="zh-CN"/>
              </w:rPr>
              <w:t>Additional impacts:</w:t>
            </w:r>
          </w:p>
          <w:p w14:paraId="28610952">
            <w:pPr>
              <w:rPr>
                <w:rFonts w:ascii="Cambria" w:hAnsi="Cambria"/>
                <w:lang w:val="en-US" w:eastAsia="zh-CN"/>
              </w:rPr>
            </w:pPr>
            <w:r>
              <w:rPr>
                <w:rFonts w:hint="eastAsia" w:ascii="Cambria" w:hAnsi="Cambria"/>
                <w:lang w:val="en-US" w:eastAsia="zh-CN"/>
              </w:rPr>
              <w:t>- AMF impacts, check with SA2 is needed</w:t>
            </w:r>
          </w:p>
        </w:tc>
      </w:tr>
    </w:tbl>
    <w:p w14:paraId="3A70BB24">
      <w:pPr>
        <w:jc w:val="both"/>
        <w:rPr>
          <w:lang w:val="en-US" w:eastAsia="zh-CN"/>
        </w:rPr>
      </w:pPr>
    </w:p>
    <w:p w14:paraId="28472EEA">
      <w:pPr>
        <w:jc w:val="both"/>
        <w:rPr>
          <w:rFonts w:hint="default"/>
          <w:b/>
          <w:bCs/>
          <w:lang w:val="en-US" w:eastAsia="zh-CN"/>
        </w:rPr>
      </w:pPr>
      <w:r>
        <w:rPr>
          <w:rFonts w:hint="eastAsia"/>
          <w:b/>
          <w:bCs/>
          <w:lang w:val="en-US" w:eastAsia="zh-CN"/>
        </w:rPr>
        <w:t>Proposal 6, RAN3 discuss and down-select between NRPPa-based solution and NGAP-based solution.</w:t>
      </w:r>
    </w:p>
    <w:p w14:paraId="44072B0A">
      <w:pPr>
        <w:keepNext/>
        <w:keepLines/>
        <w:pBdr>
          <w:top w:val="single" w:color="auto" w:sz="12" w:space="3"/>
        </w:pBdr>
        <w:spacing w:before="240"/>
        <w:ind w:left="1134" w:hanging="1134"/>
        <w:outlineLvl w:val="0"/>
        <w:rPr>
          <w:rFonts w:ascii="Arial" w:hAnsi="Arial"/>
          <w:sz w:val="36"/>
        </w:rPr>
      </w:pPr>
      <w:r>
        <w:rPr>
          <w:rFonts w:ascii="Arial" w:hAnsi="Arial"/>
          <w:sz w:val="36"/>
        </w:rPr>
        <w:t>3</w:t>
      </w:r>
      <w:r>
        <w:rPr>
          <w:rFonts w:ascii="Arial" w:hAnsi="Arial"/>
          <w:sz w:val="36"/>
        </w:rPr>
        <w:tab/>
      </w:r>
      <w:r>
        <w:rPr>
          <w:rFonts w:ascii="Arial" w:hAnsi="Arial"/>
          <w:sz w:val="36"/>
        </w:rPr>
        <w:t>Conclusion</w:t>
      </w:r>
    </w:p>
    <w:p w14:paraId="44DCAD57">
      <w:pPr>
        <w:rPr>
          <w:rFonts w:hint="default"/>
          <w:b/>
          <w:bCs/>
          <w:lang w:val="en-US" w:eastAsia="zh-CN"/>
        </w:rPr>
      </w:pPr>
      <w:r>
        <w:t xml:space="preserve">In this contribution, we discussed the AI-based positioning </w:t>
      </w:r>
      <w:r>
        <w:rPr>
          <w:rFonts w:hint="eastAsia"/>
          <w:lang w:val="en-US" w:eastAsia="zh-CN"/>
        </w:rPr>
        <w:t>data collection for case 3a</w:t>
      </w:r>
      <w:r>
        <w:t xml:space="preserve"> and have the following</w:t>
      </w:r>
      <w:r>
        <w:rPr>
          <w:rFonts w:hint="eastAsia"/>
          <w:lang w:val="en-US" w:eastAsia="zh-CN"/>
        </w:rPr>
        <w:t xml:space="preserve"> observations and</w:t>
      </w:r>
      <w:r>
        <w:t xml:space="preserve"> proposals. </w:t>
      </w:r>
    </w:p>
    <w:p w14:paraId="3EDD7ABC">
      <w:pPr>
        <w:outlineLvl w:val="1"/>
        <w:rPr>
          <w:rFonts w:hint="default"/>
          <w:b/>
          <w:bCs/>
          <w:u w:val="single"/>
          <w:lang w:val="en-US" w:eastAsia="zh-CN"/>
        </w:rPr>
      </w:pPr>
      <w:r>
        <w:rPr>
          <w:b/>
          <w:bCs/>
          <w:u w:val="single"/>
          <w:lang w:eastAsia="zh-CN"/>
        </w:rPr>
        <w:t xml:space="preserve">UE Selection </w:t>
      </w:r>
      <w:r>
        <w:rPr>
          <w:rFonts w:hint="eastAsia"/>
          <w:b/>
          <w:bCs/>
          <w:u w:val="single"/>
          <w:lang w:val="en-US" w:eastAsia="zh-CN"/>
        </w:rPr>
        <w:t>for the collected data</w:t>
      </w:r>
    </w:p>
    <w:p w14:paraId="66DAF28A">
      <w:pPr>
        <w:bidi w:val="0"/>
        <w:spacing w:after="180"/>
        <w:rPr>
          <w:rFonts w:ascii="Times New Roman" w:hAnsi="Times New Roman" w:eastAsia="宋体" w:cs="Times New Roman"/>
          <w:b/>
          <w:bCs/>
          <w:lang w:bidi="ar-SA"/>
        </w:rPr>
      </w:pPr>
      <w:r>
        <w:rPr>
          <w:rFonts w:ascii="Times New Roman" w:hAnsi="Times New Roman" w:eastAsia="宋体" w:cs="Times New Roman"/>
          <w:b/>
          <w:bCs/>
          <w:lang w:bidi="ar-SA"/>
        </w:rPr>
        <w:t xml:space="preserve">Observation 1, Part A data (UL measurements) can </w:t>
      </w:r>
      <w:r>
        <w:rPr>
          <w:rFonts w:hint="eastAsia" w:ascii="Times New Roman" w:hAnsi="Times New Roman" w:cs="Times New Roman"/>
          <w:b/>
          <w:bCs/>
          <w:lang w:val="en-US" w:eastAsia="zh-CN" w:bidi="ar-SA"/>
        </w:rPr>
        <w:t xml:space="preserve">be </w:t>
      </w:r>
      <w:r>
        <w:rPr>
          <w:rFonts w:ascii="Times New Roman" w:hAnsi="Times New Roman" w:eastAsia="宋体" w:cs="Times New Roman"/>
          <w:b/>
          <w:bCs/>
          <w:lang w:bidi="ar-SA"/>
        </w:rPr>
        <w:t>from</w:t>
      </w:r>
      <w:r>
        <w:rPr>
          <w:rFonts w:hint="eastAsia" w:ascii="Times New Roman" w:hAnsi="Times New Roman" w:cs="Times New Roman"/>
          <w:b/>
          <w:bCs/>
          <w:lang w:val="en-US" w:eastAsia="zh-CN" w:bidi="ar-SA"/>
        </w:rPr>
        <w:t xml:space="preserve"> the</w:t>
      </w:r>
      <w:r>
        <w:rPr>
          <w:rFonts w:ascii="Times New Roman" w:hAnsi="Times New Roman" w:eastAsia="宋体" w:cs="Times New Roman"/>
          <w:b/>
          <w:bCs/>
          <w:lang w:bidi="ar-SA"/>
        </w:rPr>
        <w:t xml:space="preserve"> served or non-served UEs. The gNB needs to notify the LMF that data collection is activated, so it can measure and obtain Part A data based on the SRS configuration provided by the LMF.</w:t>
      </w:r>
    </w:p>
    <w:p w14:paraId="44264749">
      <w:pPr>
        <w:bidi w:val="0"/>
        <w:spacing w:after="180"/>
        <w:rPr>
          <w:rFonts w:ascii="Times New Roman" w:hAnsi="Times New Roman" w:eastAsia="宋体" w:cs="Times New Roman"/>
          <w:b/>
          <w:bCs/>
          <w:lang w:bidi="ar-SA"/>
        </w:rPr>
      </w:pPr>
      <w:r>
        <w:rPr>
          <w:rFonts w:ascii="Times New Roman" w:hAnsi="Times New Roman" w:eastAsia="宋体" w:cs="Times New Roman"/>
          <w:b/>
          <w:bCs/>
          <w:lang w:bidi="ar-SA"/>
        </w:rPr>
        <w:t>Observation 2, Part B data (ground truth label) can only be provided to the gNB if the UE is a PRU or if the UE has given user consent.</w:t>
      </w:r>
    </w:p>
    <w:p w14:paraId="1CAEFDEF">
      <w:pPr>
        <w:bidi w:val="0"/>
        <w:spacing w:after="180"/>
        <w:rPr>
          <w:rFonts w:hint="eastAsia" w:cs="Times New Roman"/>
          <w:b/>
          <w:bCs/>
          <w:lang w:val="en-US" w:eastAsia="zh-CN" w:bidi="ar-SA"/>
        </w:rPr>
      </w:pPr>
      <w:r>
        <w:rPr>
          <w:rFonts w:hint="eastAsia"/>
          <w:b/>
          <w:bCs/>
          <w:lang w:val="en-US" w:eastAsia="zh-CN"/>
        </w:rPr>
        <w:t xml:space="preserve">Observation 3, LMF is capable to select the right UEs to provide </w:t>
      </w:r>
      <w:r>
        <w:rPr>
          <w:rFonts w:hint="eastAsia" w:ascii="Times New Roman" w:hAnsi="Times New Roman" w:cs="Times New Roman"/>
          <w:b/>
          <w:bCs/>
          <w:lang w:val="en-US" w:eastAsia="zh-CN" w:bidi="ar-SA"/>
        </w:rPr>
        <w:t xml:space="preserve">the configuration of part A </w:t>
      </w:r>
      <w:r>
        <w:rPr>
          <w:rFonts w:hint="eastAsia" w:cs="Times New Roman"/>
          <w:b/>
          <w:bCs/>
          <w:lang w:val="en-US" w:eastAsia="zh-CN" w:bidi="ar-SA"/>
        </w:rPr>
        <w:t>and</w:t>
      </w:r>
      <w:r>
        <w:rPr>
          <w:rFonts w:hint="eastAsia" w:ascii="Times New Roman" w:hAnsi="Times New Roman" w:cs="Times New Roman"/>
          <w:b/>
          <w:bCs/>
          <w:lang w:val="en-US" w:eastAsia="zh-CN" w:bidi="ar-SA"/>
        </w:rPr>
        <w:t xml:space="preserve"> the corresponding part B</w:t>
      </w:r>
      <w:r>
        <w:rPr>
          <w:rFonts w:hint="eastAsia" w:cs="Times New Roman"/>
          <w:b/>
          <w:bCs/>
          <w:lang w:val="en-US" w:eastAsia="zh-CN" w:bidi="ar-SA"/>
        </w:rPr>
        <w:t xml:space="preserve"> considering the following information</w:t>
      </w:r>
    </w:p>
    <w:p w14:paraId="5E4B46DE">
      <w:pPr>
        <w:bidi w:val="0"/>
        <w:spacing w:after="180"/>
        <w:rPr>
          <w:rFonts w:hint="eastAsia" w:cs="Times New Roman"/>
          <w:b/>
          <w:bCs/>
          <w:lang w:val="en-US" w:eastAsia="zh-CN" w:bidi="ar-SA"/>
        </w:rPr>
      </w:pPr>
      <w:r>
        <w:rPr>
          <w:rFonts w:hint="eastAsia" w:cs="Times New Roman"/>
          <w:b/>
          <w:bCs/>
          <w:lang w:val="en-US" w:eastAsia="zh-CN" w:bidi="ar-SA"/>
        </w:rPr>
        <w:t>- UE type, whether it</w:t>
      </w:r>
      <w:r>
        <w:rPr>
          <w:rFonts w:hint="default" w:cs="Times New Roman"/>
          <w:b/>
          <w:bCs/>
          <w:lang w:val="en-US" w:eastAsia="zh-CN" w:bidi="ar-SA"/>
        </w:rPr>
        <w:t>’</w:t>
      </w:r>
      <w:r>
        <w:rPr>
          <w:rFonts w:hint="eastAsia" w:cs="Times New Roman"/>
          <w:b/>
          <w:bCs/>
          <w:lang w:val="en-US" w:eastAsia="zh-CN" w:bidi="ar-SA"/>
        </w:rPr>
        <w:t>s PRU or not</w:t>
      </w:r>
    </w:p>
    <w:p w14:paraId="39A86D7B">
      <w:pPr>
        <w:bidi w:val="0"/>
        <w:spacing w:after="180"/>
        <w:rPr>
          <w:rFonts w:hint="eastAsia" w:cs="Times New Roman"/>
          <w:b/>
          <w:bCs/>
          <w:lang w:val="en-US" w:eastAsia="zh-CN" w:bidi="ar-SA"/>
        </w:rPr>
      </w:pPr>
      <w:r>
        <w:rPr>
          <w:rFonts w:hint="eastAsia" w:cs="Times New Roman"/>
          <w:b/>
          <w:bCs/>
          <w:lang w:val="en-US" w:eastAsia="zh-CN" w:bidi="ar-SA"/>
        </w:rPr>
        <w:t>- UE consent, checked with UDM</w:t>
      </w:r>
    </w:p>
    <w:p w14:paraId="7455D8A2">
      <w:pPr>
        <w:bidi w:val="0"/>
        <w:spacing w:after="180"/>
        <w:rPr>
          <w:rFonts w:hint="eastAsia" w:cs="Times New Roman"/>
          <w:b/>
          <w:bCs/>
          <w:lang w:val="en-US" w:eastAsia="zh-CN" w:bidi="ar-SA"/>
        </w:rPr>
      </w:pPr>
      <w:r>
        <w:rPr>
          <w:rFonts w:hint="eastAsia" w:cs="Times New Roman"/>
          <w:b/>
          <w:bCs/>
          <w:lang w:val="en-US" w:eastAsia="zh-CN" w:bidi="ar-SA"/>
        </w:rPr>
        <w:t>- UE location, known by itself</w:t>
      </w:r>
    </w:p>
    <w:p w14:paraId="2E951C81">
      <w:pPr>
        <w:bidi w:val="0"/>
        <w:spacing w:after="180"/>
        <w:rPr>
          <w:rFonts w:hint="eastAsia" w:cs="Times New Roman"/>
          <w:b/>
          <w:bCs/>
          <w:lang w:val="en-US" w:eastAsia="zh-CN" w:bidi="ar-SA"/>
        </w:rPr>
      </w:pPr>
      <w:r>
        <w:rPr>
          <w:rFonts w:hint="eastAsia" w:cs="Times New Roman"/>
          <w:b/>
          <w:bCs/>
          <w:lang w:val="en-US" w:eastAsia="zh-CN" w:bidi="ar-SA"/>
        </w:rPr>
        <w:t>- UE</w:t>
      </w:r>
      <w:r>
        <w:rPr>
          <w:rFonts w:hint="default" w:cs="Times New Roman"/>
          <w:b/>
          <w:bCs/>
          <w:lang w:val="en-US" w:eastAsia="zh-CN" w:bidi="ar-SA"/>
        </w:rPr>
        <w:t>’</w:t>
      </w:r>
      <w:r>
        <w:rPr>
          <w:rFonts w:hint="eastAsia" w:cs="Times New Roman"/>
          <w:b/>
          <w:bCs/>
          <w:lang w:val="en-US" w:eastAsia="zh-CN" w:bidi="ar-SA"/>
        </w:rPr>
        <w:t>s serving gNB, known via AMF</w:t>
      </w:r>
    </w:p>
    <w:p w14:paraId="393577D7">
      <w:pPr>
        <w:bidi w:val="0"/>
        <w:spacing w:after="180"/>
        <w:rPr>
          <w:rFonts w:hint="eastAsia" w:cs="Times New Roman"/>
          <w:b/>
          <w:bCs/>
          <w:lang w:val="en-US" w:eastAsia="zh-CN" w:bidi="ar-SA"/>
        </w:rPr>
      </w:pPr>
      <w:r>
        <w:rPr>
          <w:rFonts w:hint="eastAsia" w:cs="Times New Roman"/>
          <w:b/>
          <w:bCs/>
          <w:lang w:val="en-US" w:eastAsia="zh-CN" w:bidi="ar-SA"/>
        </w:rPr>
        <w:t>- gNB</w:t>
      </w:r>
      <w:r>
        <w:rPr>
          <w:rFonts w:hint="default" w:cs="Times New Roman"/>
          <w:b/>
          <w:bCs/>
          <w:lang w:val="en-US" w:eastAsia="zh-CN" w:bidi="ar-SA"/>
        </w:rPr>
        <w:t>’</w:t>
      </w:r>
      <w:r>
        <w:rPr>
          <w:rFonts w:hint="eastAsia" w:cs="Times New Roman"/>
          <w:b/>
          <w:bCs/>
          <w:lang w:val="en-US" w:eastAsia="zh-CN" w:bidi="ar-SA"/>
        </w:rPr>
        <w:t>s data collection request</w:t>
      </w:r>
    </w:p>
    <w:p w14:paraId="71F930E8">
      <w:pPr>
        <w:bidi w:val="0"/>
        <w:spacing w:after="180"/>
        <w:rPr>
          <w:rFonts w:hint="default" w:cs="Times New Roman"/>
          <w:b/>
          <w:bCs/>
          <w:lang w:val="en-US" w:eastAsia="zh-CN" w:bidi="ar-SA"/>
        </w:rPr>
      </w:pPr>
      <w:r>
        <w:rPr>
          <w:rFonts w:hint="eastAsia" w:cs="Times New Roman"/>
          <w:b/>
          <w:bCs/>
          <w:lang w:val="en-US" w:eastAsia="zh-CN" w:bidi="ar-SA"/>
        </w:rPr>
        <w:t>- gNB</w:t>
      </w:r>
      <w:r>
        <w:rPr>
          <w:rFonts w:hint="default" w:cs="Times New Roman"/>
          <w:b/>
          <w:bCs/>
          <w:lang w:val="en-US" w:eastAsia="zh-CN" w:bidi="ar-SA"/>
        </w:rPr>
        <w:t>’</w:t>
      </w:r>
      <w:r>
        <w:rPr>
          <w:rFonts w:hint="eastAsia" w:cs="Times New Roman"/>
          <w:b/>
          <w:bCs/>
          <w:lang w:val="en-US" w:eastAsia="zh-CN" w:bidi="ar-SA"/>
        </w:rPr>
        <w:t>s location</w:t>
      </w:r>
    </w:p>
    <w:p w14:paraId="59CB902A">
      <w:pPr>
        <w:rPr>
          <w:rFonts w:hint="default"/>
          <w:b/>
          <w:bCs/>
          <w:lang w:val="en-US" w:eastAsia="zh-CN"/>
        </w:rPr>
      </w:pPr>
      <w:r>
        <w:rPr>
          <w:rFonts w:hint="eastAsia"/>
          <w:b/>
          <w:bCs/>
          <w:lang w:val="en-US" w:eastAsia="zh-CN"/>
        </w:rPr>
        <w:t xml:space="preserve">Proposal 1, </w:t>
      </w:r>
      <w:r>
        <w:rPr>
          <w:b/>
          <w:bCs/>
          <w:lang w:eastAsia="zh-CN"/>
        </w:rPr>
        <w:t xml:space="preserve">LMF is the entity to perform the UE selection </w:t>
      </w:r>
      <w:r>
        <w:rPr>
          <w:rFonts w:hint="eastAsia"/>
          <w:b/>
          <w:bCs/>
          <w:lang w:val="en-US" w:eastAsia="zh-CN"/>
        </w:rPr>
        <w:t>to provide the data as per gNB</w:t>
      </w:r>
      <w:r>
        <w:rPr>
          <w:rFonts w:hint="default"/>
          <w:b/>
          <w:bCs/>
          <w:lang w:val="en-US" w:eastAsia="zh-CN"/>
        </w:rPr>
        <w:t>’</w:t>
      </w:r>
      <w:r>
        <w:rPr>
          <w:rFonts w:hint="eastAsia"/>
          <w:b/>
          <w:bCs/>
          <w:lang w:val="en-US" w:eastAsia="zh-CN"/>
        </w:rPr>
        <w:t>s request.</w:t>
      </w:r>
    </w:p>
    <w:p w14:paraId="6F98874A">
      <w:pPr>
        <w:rPr>
          <w:rFonts w:hint="eastAsia"/>
          <w:b/>
          <w:bCs/>
          <w:u w:val="single"/>
          <w:lang w:val="en-US" w:eastAsia="zh-CN"/>
        </w:rPr>
      </w:pPr>
      <w:r>
        <w:rPr>
          <w:rFonts w:hint="eastAsia"/>
          <w:b/>
          <w:bCs/>
          <w:u w:val="single"/>
          <w:lang w:val="en-US" w:eastAsia="zh-CN"/>
        </w:rPr>
        <w:t xml:space="preserve">gNB involvement in UE selection </w:t>
      </w:r>
    </w:p>
    <w:p w14:paraId="6C9FA300">
      <w:pPr>
        <w:rPr>
          <w:rFonts w:hint="eastAsia"/>
          <w:b/>
          <w:bCs/>
          <w:lang w:val="en-US" w:eastAsia="zh-CN"/>
        </w:rPr>
      </w:pPr>
      <w:r>
        <w:rPr>
          <w:rFonts w:hint="eastAsia"/>
          <w:b/>
          <w:bCs/>
          <w:lang w:val="en-US" w:eastAsia="zh-CN"/>
        </w:rPr>
        <w:t>Proposal 2, for label-free AI model training data collection, the gNB can select the served UE and collect part A by implementation. For label-based AI model training data collection, the gNB cannot request a ground truth label for a specific served UE.</w:t>
      </w:r>
    </w:p>
    <w:p w14:paraId="2AA297D9">
      <w:pPr>
        <w:outlineLvl w:val="1"/>
        <w:rPr>
          <w:rFonts w:hint="eastAsia"/>
          <w:b/>
          <w:bCs/>
          <w:lang w:val="en-US" w:eastAsia="zh-CN"/>
        </w:rPr>
      </w:pPr>
      <w:r>
        <w:rPr>
          <w:rFonts w:hint="eastAsia"/>
          <w:b/>
          <w:bCs/>
          <w:u w:val="single"/>
          <w:lang w:val="en-US" w:eastAsia="zh-CN"/>
        </w:rPr>
        <w:t>Procedures for Data collection requirement transfer</w:t>
      </w:r>
    </w:p>
    <w:p w14:paraId="2FEB7890">
      <w:pPr>
        <w:rPr>
          <w:rFonts w:hint="eastAsia"/>
          <w:b/>
          <w:bCs/>
          <w:lang w:val="en-US" w:eastAsia="zh-CN"/>
        </w:rPr>
      </w:pPr>
      <w:r>
        <w:rPr>
          <w:rFonts w:hint="eastAsia"/>
          <w:b/>
          <w:bCs/>
          <w:lang w:val="en-US" w:eastAsia="zh-CN"/>
        </w:rPr>
        <w:t>Proposal 3, non-UE associated procedure is used for data collection requirement transfer.</w:t>
      </w:r>
    </w:p>
    <w:p w14:paraId="10A96997">
      <w:pPr>
        <w:outlineLvl w:val="1"/>
        <w:rPr>
          <w:b/>
          <w:bCs/>
          <w:u w:val="single"/>
          <w:lang w:val="en-US" w:eastAsia="zh-CN"/>
        </w:rPr>
      </w:pPr>
      <w:r>
        <w:rPr>
          <w:rFonts w:hint="eastAsia"/>
          <w:b/>
          <w:bCs/>
          <w:u w:val="single"/>
          <w:lang w:val="en-US" w:eastAsia="zh-CN"/>
        </w:rPr>
        <w:t>Procedures for part A measurement configuration</w:t>
      </w:r>
    </w:p>
    <w:p w14:paraId="3FECB45C">
      <w:pPr>
        <w:rPr>
          <w:b/>
          <w:bCs/>
          <w:lang w:val="en-US" w:eastAsia="zh-CN"/>
        </w:rPr>
      </w:pPr>
      <w:r>
        <w:rPr>
          <w:rFonts w:hint="eastAsia"/>
          <w:b/>
          <w:bCs/>
          <w:lang w:val="en-US" w:eastAsia="zh-CN"/>
        </w:rPr>
        <w:t xml:space="preserve">Proposal 4, NRPPa measurement procedure is reused to configuring the gNB to measure and collect part A measurements. </w:t>
      </w:r>
    </w:p>
    <w:p w14:paraId="004773AD">
      <w:pPr>
        <w:outlineLvl w:val="1"/>
        <w:rPr>
          <w:b/>
          <w:bCs/>
          <w:u w:val="single"/>
          <w:lang w:val="en-US" w:eastAsia="zh-CN"/>
        </w:rPr>
      </w:pPr>
      <w:r>
        <w:rPr>
          <w:rFonts w:hint="eastAsia"/>
          <w:b/>
          <w:bCs/>
          <w:u w:val="single"/>
          <w:lang w:val="en-US" w:eastAsia="zh-CN"/>
        </w:rPr>
        <w:t>Procedures for ground truth label transfer</w:t>
      </w:r>
    </w:p>
    <w:p w14:paraId="472C5E0E">
      <w:pPr>
        <w:rPr>
          <w:rFonts w:hint="eastAsia"/>
          <w:b/>
          <w:bCs/>
          <w:lang w:val="en-US" w:eastAsia="zh-CN"/>
        </w:rPr>
      </w:pPr>
      <w:r>
        <w:rPr>
          <w:rFonts w:hint="eastAsia"/>
          <w:b/>
          <w:bCs/>
          <w:lang w:val="en-US" w:eastAsia="zh-CN"/>
        </w:rPr>
        <w:t>Proposal 5, RAN3 discuss whether to reuse measurement request or introduce a new message to provide the ground truth label from LMF to gNB.</w:t>
      </w:r>
    </w:p>
    <w:p w14:paraId="4484F637">
      <w:pPr>
        <w:jc w:val="both"/>
        <w:outlineLvl w:val="1"/>
        <w:rPr>
          <w:b/>
          <w:bCs/>
          <w:u w:val="single"/>
          <w:lang w:val="en-US" w:eastAsia="zh-CN"/>
        </w:rPr>
      </w:pPr>
      <w:r>
        <w:rPr>
          <w:rFonts w:hint="eastAsia"/>
          <w:b/>
          <w:bCs/>
          <w:u w:val="single"/>
          <w:lang w:val="en-US" w:eastAsia="zh-CN"/>
        </w:rPr>
        <w:t xml:space="preserve">Overall procedures </w:t>
      </w:r>
    </w:p>
    <w:p w14:paraId="4FBB2F43">
      <w:pPr>
        <w:jc w:val="both"/>
        <w:rPr>
          <w:rFonts w:hint="default"/>
          <w:b/>
          <w:bCs/>
          <w:lang w:val="en-US" w:eastAsia="zh-CN"/>
        </w:rPr>
      </w:pPr>
      <w:r>
        <w:rPr>
          <w:rFonts w:hint="eastAsia"/>
          <w:b/>
          <w:bCs/>
          <w:lang w:val="en-US" w:eastAsia="zh-CN"/>
        </w:rPr>
        <w:t>Proposal 6, RAN3 discuss and down-select between NRPPa-based solution and NGAP-based solution.</w:t>
      </w:r>
    </w:p>
    <w:p w14:paraId="2FFE6EA7">
      <w:pPr>
        <w:rPr>
          <w:rFonts w:hint="eastAsia"/>
          <w:b/>
          <w:bCs/>
          <w:lang w:val="en-US" w:eastAsia="zh-CN"/>
        </w:rPr>
      </w:pPr>
    </w:p>
    <w:p w14:paraId="70DB70E6">
      <w:pPr>
        <w:rPr>
          <w:rFonts w:hint="eastAsia"/>
          <w:b/>
          <w:bCs/>
          <w:lang w:val="en-US" w:eastAsia="zh-CN"/>
        </w:rPr>
      </w:pPr>
    </w:p>
    <w:p w14:paraId="62620605">
      <w:pPr>
        <w:rPr>
          <w:rFonts w:hint="default"/>
          <w:b/>
          <w:bCs/>
          <w:lang w:val="en-US" w:eastAsia="zh-CN"/>
        </w:rPr>
      </w:pPr>
    </w:p>
    <w:p w14:paraId="30E74CE9">
      <w:pPr>
        <w:pStyle w:val="163"/>
        <w:ind w:left="0" w:firstLine="0"/>
      </w:pPr>
    </w:p>
    <w:p w14:paraId="0F80323A">
      <w:pPr>
        <w:pStyle w:val="4"/>
        <w:rPr>
          <w:rFonts w:eastAsia="Times New Roman"/>
          <w:lang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Aptos">
    <w:altName w:val="Calibri"/>
    <w:panose1 w:val="00000000000000000000"/>
    <w:charset w:val="00"/>
    <w:family w:val="auto"/>
    <w:pitch w:val="default"/>
    <w:sig w:usb0="00000000" w:usb1="00000000" w:usb2="00000000" w:usb3="00000000" w:csb0="00000000" w:csb1="00000000"/>
  </w:font>
  <w:font w:name="@宋体">
    <w:panose1 w:val="02010600030101010101"/>
    <w:charset w:val="86"/>
    <w:family w:val="auto"/>
    <w:pitch w:val="variable"/>
    <w:sig w:usb0="00000203" w:usb1="288F0000" w:usb2="00000006" w:usb3="00000000" w:csb0="00040001"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E8778A"/>
    <w:multiLevelType w:val="singleLevel"/>
    <w:tmpl w:val="F2E8778A"/>
    <w:lvl w:ilvl="0" w:tentative="0">
      <w:start w:val="1"/>
      <w:numFmt w:val="decimal"/>
      <w:lvlText w:val="%1."/>
      <w:lvlJc w:val="left"/>
    </w:lvl>
  </w:abstractNum>
  <w:abstractNum w:abstractNumId="1">
    <w:nsid w:val="0BF0B562"/>
    <w:multiLevelType w:val="singleLevel"/>
    <w:tmpl w:val="0BF0B562"/>
    <w:lvl w:ilvl="0" w:tentative="0">
      <w:start w:val="1"/>
      <w:numFmt w:val="decimal"/>
      <w:lvlText w:val="%1."/>
      <w:lvlJc w:val="left"/>
    </w:lvl>
  </w:abstractNum>
  <w:abstractNum w:abstractNumId="2">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3">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6B55C17"/>
    <w:multiLevelType w:val="multilevel"/>
    <w:tmpl w:val="76B55C17"/>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4"/>
  </w:num>
  <w:num w:numId="2">
    <w:abstractNumId w:val="3"/>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8"/>
    <w:rsid w:val="00001ACE"/>
    <w:rsid w:val="00004E3D"/>
    <w:rsid w:val="000054C7"/>
    <w:rsid w:val="00016CDE"/>
    <w:rsid w:val="00021025"/>
    <w:rsid w:val="000258BD"/>
    <w:rsid w:val="000277C6"/>
    <w:rsid w:val="00027B47"/>
    <w:rsid w:val="00027D1F"/>
    <w:rsid w:val="0003263B"/>
    <w:rsid w:val="00033397"/>
    <w:rsid w:val="000342C7"/>
    <w:rsid w:val="00037E24"/>
    <w:rsid w:val="00040095"/>
    <w:rsid w:val="00040F2E"/>
    <w:rsid w:val="000432BE"/>
    <w:rsid w:val="00044BAF"/>
    <w:rsid w:val="00045D5B"/>
    <w:rsid w:val="00046597"/>
    <w:rsid w:val="00050C8D"/>
    <w:rsid w:val="0005563E"/>
    <w:rsid w:val="0006134F"/>
    <w:rsid w:val="00061D3E"/>
    <w:rsid w:val="0007020B"/>
    <w:rsid w:val="00072726"/>
    <w:rsid w:val="00077009"/>
    <w:rsid w:val="00080512"/>
    <w:rsid w:val="00081E95"/>
    <w:rsid w:val="00082450"/>
    <w:rsid w:val="00083D7A"/>
    <w:rsid w:val="00083F0D"/>
    <w:rsid w:val="000904E9"/>
    <w:rsid w:val="00094794"/>
    <w:rsid w:val="00096CCA"/>
    <w:rsid w:val="000971F0"/>
    <w:rsid w:val="000A0D66"/>
    <w:rsid w:val="000A1743"/>
    <w:rsid w:val="000A68DE"/>
    <w:rsid w:val="000A7363"/>
    <w:rsid w:val="000B7BCF"/>
    <w:rsid w:val="000C1506"/>
    <w:rsid w:val="000C556D"/>
    <w:rsid w:val="000D376D"/>
    <w:rsid w:val="000D3772"/>
    <w:rsid w:val="000D58AB"/>
    <w:rsid w:val="000E383B"/>
    <w:rsid w:val="000F0435"/>
    <w:rsid w:val="000F1DB2"/>
    <w:rsid w:val="000F28D7"/>
    <w:rsid w:val="000F48F6"/>
    <w:rsid w:val="000F4985"/>
    <w:rsid w:val="000F693F"/>
    <w:rsid w:val="001033A8"/>
    <w:rsid w:val="00104879"/>
    <w:rsid w:val="00104AD1"/>
    <w:rsid w:val="00106654"/>
    <w:rsid w:val="001070BE"/>
    <w:rsid w:val="001075B7"/>
    <w:rsid w:val="00122DEF"/>
    <w:rsid w:val="00123D11"/>
    <w:rsid w:val="001263C2"/>
    <w:rsid w:val="001265F8"/>
    <w:rsid w:val="0013262A"/>
    <w:rsid w:val="00134E21"/>
    <w:rsid w:val="001370F2"/>
    <w:rsid w:val="0013761B"/>
    <w:rsid w:val="00140579"/>
    <w:rsid w:val="0014113A"/>
    <w:rsid w:val="00146793"/>
    <w:rsid w:val="001475FB"/>
    <w:rsid w:val="00151DEC"/>
    <w:rsid w:val="00152844"/>
    <w:rsid w:val="001547D9"/>
    <w:rsid w:val="001549DD"/>
    <w:rsid w:val="00155FF2"/>
    <w:rsid w:val="0015741D"/>
    <w:rsid w:val="001601AE"/>
    <w:rsid w:val="00161267"/>
    <w:rsid w:val="00170977"/>
    <w:rsid w:val="00172A27"/>
    <w:rsid w:val="00173B65"/>
    <w:rsid w:val="001744AC"/>
    <w:rsid w:val="0017527C"/>
    <w:rsid w:val="00190CAC"/>
    <w:rsid w:val="00191C39"/>
    <w:rsid w:val="001923EC"/>
    <w:rsid w:val="00192678"/>
    <w:rsid w:val="00194CD0"/>
    <w:rsid w:val="0019788D"/>
    <w:rsid w:val="001B08B3"/>
    <w:rsid w:val="001B0A88"/>
    <w:rsid w:val="001B331F"/>
    <w:rsid w:val="001B5DF8"/>
    <w:rsid w:val="001B6D36"/>
    <w:rsid w:val="001C0F7C"/>
    <w:rsid w:val="001C3DBF"/>
    <w:rsid w:val="001C4281"/>
    <w:rsid w:val="001C4C5B"/>
    <w:rsid w:val="001C4C9E"/>
    <w:rsid w:val="001C77AE"/>
    <w:rsid w:val="001D076C"/>
    <w:rsid w:val="001D0D3F"/>
    <w:rsid w:val="001D3578"/>
    <w:rsid w:val="001E39D1"/>
    <w:rsid w:val="001E6294"/>
    <w:rsid w:val="001E6628"/>
    <w:rsid w:val="001E6D6D"/>
    <w:rsid w:val="001F168B"/>
    <w:rsid w:val="001F68D6"/>
    <w:rsid w:val="001F6B85"/>
    <w:rsid w:val="001F70B7"/>
    <w:rsid w:val="0020434B"/>
    <w:rsid w:val="00207DBB"/>
    <w:rsid w:val="00225F6D"/>
    <w:rsid w:val="0022606D"/>
    <w:rsid w:val="002305DD"/>
    <w:rsid w:val="00235BBD"/>
    <w:rsid w:val="00236010"/>
    <w:rsid w:val="00237705"/>
    <w:rsid w:val="00243BC7"/>
    <w:rsid w:val="00245B92"/>
    <w:rsid w:val="00250D89"/>
    <w:rsid w:val="0025456D"/>
    <w:rsid w:val="002546FB"/>
    <w:rsid w:val="002567A0"/>
    <w:rsid w:val="0025725C"/>
    <w:rsid w:val="00261ACD"/>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B548A"/>
    <w:rsid w:val="002C18AD"/>
    <w:rsid w:val="002C5274"/>
    <w:rsid w:val="002C5D18"/>
    <w:rsid w:val="002D17D9"/>
    <w:rsid w:val="002D39CC"/>
    <w:rsid w:val="002D50F9"/>
    <w:rsid w:val="002D5B32"/>
    <w:rsid w:val="002E0333"/>
    <w:rsid w:val="002E1692"/>
    <w:rsid w:val="002E1AC9"/>
    <w:rsid w:val="002E3486"/>
    <w:rsid w:val="002E6B6C"/>
    <w:rsid w:val="002F0D22"/>
    <w:rsid w:val="002F4AE0"/>
    <w:rsid w:val="002F5942"/>
    <w:rsid w:val="002F77EB"/>
    <w:rsid w:val="00302F01"/>
    <w:rsid w:val="0030370D"/>
    <w:rsid w:val="003045D3"/>
    <w:rsid w:val="00304BF1"/>
    <w:rsid w:val="003051E1"/>
    <w:rsid w:val="00307249"/>
    <w:rsid w:val="00307733"/>
    <w:rsid w:val="00312076"/>
    <w:rsid w:val="0031275F"/>
    <w:rsid w:val="00313B7C"/>
    <w:rsid w:val="00316684"/>
    <w:rsid w:val="003172DC"/>
    <w:rsid w:val="00321D4B"/>
    <w:rsid w:val="003238E8"/>
    <w:rsid w:val="00326069"/>
    <w:rsid w:val="003375FB"/>
    <w:rsid w:val="003405D1"/>
    <w:rsid w:val="00342065"/>
    <w:rsid w:val="003454FC"/>
    <w:rsid w:val="0034752C"/>
    <w:rsid w:val="00347702"/>
    <w:rsid w:val="003532DA"/>
    <w:rsid w:val="00353B12"/>
    <w:rsid w:val="0035462D"/>
    <w:rsid w:val="00356E46"/>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A4A29"/>
    <w:rsid w:val="003B3FB3"/>
    <w:rsid w:val="003B5FD6"/>
    <w:rsid w:val="003B61E3"/>
    <w:rsid w:val="003C3FBC"/>
    <w:rsid w:val="003C41D2"/>
    <w:rsid w:val="003C4E37"/>
    <w:rsid w:val="003E0E2A"/>
    <w:rsid w:val="003E1194"/>
    <w:rsid w:val="003E16BE"/>
    <w:rsid w:val="003E23BB"/>
    <w:rsid w:val="003E7223"/>
    <w:rsid w:val="003F0EA3"/>
    <w:rsid w:val="00401855"/>
    <w:rsid w:val="00404075"/>
    <w:rsid w:val="00406760"/>
    <w:rsid w:val="00413272"/>
    <w:rsid w:val="00416698"/>
    <w:rsid w:val="004213E4"/>
    <w:rsid w:val="004242C7"/>
    <w:rsid w:val="00427002"/>
    <w:rsid w:val="00431A24"/>
    <w:rsid w:val="00435D2E"/>
    <w:rsid w:val="00445C4B"/>
    <w:rsid w:val="004550F1"/>
    <w:rsid w:val="00455983"/>
    <w:rsid w:val="00462679"/>
    <w:rsid w:val="00464695"/>
    <w:rsid w:val="00466BAB"/>
    <w:rsid w:val="00467E60"/>
    <w:rsid w:val="0047092A"/>
    <w:rsid w:val="00472C9A"/>
    <w:rsid w:val="0048072A"/>
    <w:rsid w:val="0048545D"/>
    <w:rsid w:val="00491FB4"/>
    <w:rsid w:val="004969C2"/>
    <w:rsid w:val="004A0AA2"/>
    <w:rsid w:val="004A72DB"/>
    <w:rsid w:val="004B03AB"/>
    <w:rsid w:val="004B3612"/>
    <w:rsid w:val="004C21E3"/>
    <w:rsid w:val="004C280C"/>
    <w:rsid w:val="004C53DC"/>
    <w:rsid w:val="004C5539"/>
    <w:rsid w:val="004C7D83"/>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17306"/>
    <w:rsid w:val="005240A4"/>
    <w:rsid w:val="005300E9"/>
    <w:rsid w:val="00530426"/>
    <w:rsid w:val="00531C12"/>
    <w:rsid w:val="005323B3"/>
    <w:rsid w:val="00534DA0"/>
    <w:rsid w:val="005361A0"/>
    <w:rsid w:val="005369EB"/>
    <w:rsid w:val="00540B31"/>
    <w:rsid w:val="00543E6C"/>
    <w:rsid w:val="005443F7"/>
    <w:rsid w:val="00544635"/>
    <w:rsid w:val="00544EE2"/>
    <w:rsid w:val="00552076"/>
    <w:rsid w:val="00552D49"/>
    <w:rsid w:val="0055393E"/>
    <w:rsid w:val="00554621"/>
    <w:rsid w:val="00557E1D"/>
    <w:rsid w:val="005626DD"/>
    <w:rsid w:val="00562FDC"/>
    <w:rsid w:val="00565087"/>
    <w:rsid w:val="0056573F"/>
    <w:rsid w:val="00565BE9"/>
    <w:rsid w:val="0057115D"/>
    <w:rsid w:val="00571CE2"/>
    <w:rsid w:val="0057478E"/>
    <w:rsid w:val="0057579F"/>
    <w:rsid w:val="0058390A"/>
    <w:rsid w:val="005844B8"/>
    <w:rsid w:val="00587958"/>
    <w:rsid w:val="0059207C"/>
    <w:rsid w:val="005937A8"/>
    <w:rsid w:val="005A05B8"/>
    <w:rsid w:val="005A2CFE"/>
    <w:rsid w:val="005A2F33"/>
    <w:rsid w:val="005A4971"/>
    <w:rsid w:val="005A77FA"/>
    <w:rsid w:val="005B082F"/>
    <w:rsid w:val="005B1232"/>
    <w:rsid w:val="005B2EEF"/>
    <w:rsid w:val="005B7CF8"/>
    <w:rsid w:val="005C335B"/>
    <w:rsid w:val="005C4C8C"/>
    <w:rsid w:val="005C7301"/>
    <w:rsid w:val="005D0F3B"/>
    <w:rsid w:val="005D1438"/>
    <w:rsid w:val="005D1B08"/>
    <w:rsid w:val="005D4274"/>
    <w:rsid w:val="005D554A"/>
    <w:rsid w:val="005D55FB"/>
    <w:rsid w:val="005D5A45"/>
    <w:rsid w:val="005E3C56"/>
    <w:rsid w:val="005E5C4A"/>
    <w:rsid w:val="005E7EC8"/>
    <w:rsid w:val="005F1BD4"/>
    <w:rsid w:val="005F5CE8"/>
    <w:rsid w:val="005F7C94"/>
    <w:rsid w:val="00605E3E"/>
    <w:rsid w:val="006062FF"/>
    <w:rsid w:val="00606DA9"/>
    <w:rsid w:val="00611566"/>
    <w:rsid w:val="00611D47"/>
    <w:rsid w:val="00616F9D"/>
    <w:rsid w:val="00620198"/>
    <w:rsid w:val="00625F1B"/>
    <w:rsid w:val="006327AD"/>
    <w:rsid w:val="0063512B"/>
    <w:rsid w:val="00636DA6"/>
    <w:rsid w:val="006400B0"/>
    <w:rsid w:val="0064125E"/>
    <w:rsid w:val="00645F3F"/>
    <w:rsid w:val="0065042D"/>
    <w:rsid w:val="006515B8"/>
    <w:rsid w:val="00653858"/>
    <w:rsid w:val="006538D4"/>
    <w:rsid w:val="006542E1"/>
    <w:rsid w:val="006544F8"/>
    <w:rsid w:val="006553A7"/>
    <w:rsid w:val="00656E1E"/>
    <w:rsid w:val="006604E4"/>
    <w:rsid w:val="006610A2"/>
    <w:rsid w:val="00662D7F"/>
    <w:rsid w:val="00670F86"/>
    <w:rsid w:val="00673EBA"/>
    <w:rsid w:val="00676565"/>
    <w:rsid w:val="0067782C"/>
    <w:rsid w:val="00694CEB"/>
    <w:rsid w:val="00697E26"/>
    <w:rsid w:val="006A3625"/>
    <w:rsid w:val="006A3B6F"/>
    <w:rsid w:val="006A53E4"/>
    <w:rsid w:val="006B130F"/>
    <w:rsid w:val="006B1FD2"/>
    <w:rsid w:val="006B36A5"/>
    <w:rsid w:val="006B3E5D"/>
    <w:rsid w:val="006B62CA"/>
    <w:rsid w:val="006B75FF"/>
    <w:rsid w:val="006C03CE"/>
    <w:rsid w:val="006C4235"/>
    <w:rsid w:val="006C54B5"/>
    <w:rsid w:val="006D1E24"/>
    <w:rsid w:val="006D3B3F"/>
    <w:rsid w:val="006D5175"/>
    <w:rsid w:val="006E046B"/>
    <w:rsid w:val="006E126F"/>
    <w:rsid w:val="006E2255"/>
    <w:rsid w:val="006F10ED"/>
    <w:rsid w:val="006F5BD6"/>
    <w:rsid w:val="006F70C2"/>
    <w:rsid w:val="006F72BD"/>
    <w:rsid w:val="0070147B"/>
    <w:rsid w:val="007028CC"/>
    <w:rsid w:val="00702BDF"/>
    <w:rsid w:val="00704E40"/>
    <w:rsid w:val="00711EEF"/>
    <w:rsid w:val="007122B0"/>
    <w:rsid w:val="0071262D"/>
    <w:rsid w:val="00716BBA"/>
    <w:rsid w:val="007229DE"/>
    <w:rsid w:val="00724120"/>
    <w:rsid w:val="0072559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B93"/>
    <w:rsid w:val="00773C76"/>
    <w:rsid w:val="00774151"/>
    <w:rsid w:val="00774846"/>
    <w:rsid w:val="00776271"/>
    <w:rsid w:val="00776AC6"/>
    <w:rsid w:val="00781F0F"/>
    <w:rsid w:val="00786806"/>
    <w:rsid w:val="0078727C"/>
    <w:rsid w:val="00797225"/>
    <w:rsid w:val="00797D4B"/>
    <w:rsid w:val="007A0BB5"/>
    <w:rsid w:val="007C041A"/>
    <w:rsid w:val="007C095F"/>
    <w:rsid w:val="007C36EF"/>
    <w:rsid w:val="007C4F4C"/>
    <w:rsid w:val="007D0864"/>
    <w:rsid w:val="007D15B5"/>
    <w:rsid w:val="007D2EAF"/>
    <w:rsid w:val="007D5902"/>
    <w:rsid w:val="007E1F12"/>
    <w:rsid w:val="007E4746"/>
    <w:rsid w:val="007E4C30"/>
    <w:rsid w:val="007E4E6D"/>
    <w:rsid w:val="007F217D"/>
    <w:rsid w:val="007F2676"/>
    <w:rsid w:val="007F3F5F"/>
    <w:rsid w:val="007F40B5"/>
    <w:rsid w:val="007F687D"/>
    <w:rsid w:val="00800860"/>
    <w:rsid w:val="00802106"/>
    <w:rsid w:val="0080288B"/>
    <w:rsid w:val="008028A4"/>
    <w:rsid w:val="00803E9E"/>
    <w:rsid w:val="00806520"/>
    <w:rsid w:val="00812341"/>
    <w:rsid w:val="00814F36"/>
    <w:rsid w:val="00816577"/>
    <w:rsid w:val="008209D4"/>
    <w:rsid w:val="008223CA"/>
    <w:rsid w:val="00822EA1"/>
    <w:rsid w:val="00824769"/>
    <w:rsid w:val="0082496B"/>
    <w:rsid w:val="008278B3"/>
    <w:rsid w:val="00830106"/>
    <w:rsid w:val="00831E75"/>
    <w:rsid w:val="00832B83"/>
    <w:rsid w:val="00833BE0"/>
    <w:rsid w:val="00833DF7"/>
    <w:rsid w:val="00835512"/>
    <w:rsid w:val="00835A6C"/>
    <w:rsid w:val="00840916"/>
    <w:rsid w:val="008415DA"/>
    <w:rsid w:val="00843623"/>
    <w:rsid w:val="00853EDD"/>
    <w:rsid w:val="0085491B"/>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75A9"/>
    <w:rsid w:val="008A4A6A"/>
    <w:rsid w:val="008A727E"/>
    <w:rsid w:val="008A79DE"/>
    <w:rsid w:val="008B0FF3"/>
    <w:rsid w:val="008B6DCD"/>
    <w:rsid w:val="008C2835"/>
    <w:rsid w:val="008C490B"/>
    <w:rsid w:val="008C62FA"/>
    <w:rsid w:val="008C66A2"/>
    <w:rsid w:val="008D46B2"/>
    <w:rsid w:val="008E00B9"/>
    <w:rsid w:val="008E00C5"/>
    <w:rsid w:val="008E0F31"/>
    <w:rsid w:val="008E248A"/>
    <w:rsid w:val="008E2EAA"/>
    <w:rsid w:val="008E3A57"/>
    <w:rsid w:val="008E7B27"/>
    <w:rsid w:val="008F0032"/>
    <w:rsid w:val="008F27C2"/>
    <w:rsid w:val="008F4654"/>
    <w:rsid w:val="00900279"/>
    <w:rsid w:val="0090271F"/>
    <w:rsid w:val="00902DA8"/>
    <w:rsid w:val="00903D8C"/>
    <w:rsid w:val="00904D26"/>
    <w:rsid w:val="009053C3"/>
    <w:rsid w:val="0091194D"/>
    <w:rsid w:val="00912D95"/>
    <w:rsid w:val="009149D8"/>
    <w:rsid w:val="00917051"/>
    <w:rsid w:val="00922FE8"/>
    <w:rsid w:val="00925466"/>
    <w:rsid w:val="00925A68"/>
    <w:rsid w:val="00930437"/>
    <w:rsid w:val="009321BB"/>
    <w:rsid w:val="00933EAD"/>
    <w:rsid w:val="0094052D"/>
    <w:rsid w:val="00941939"/>
    <w:rsid w:val="00942EC2"/>
    <w:rsid w:val="00945543"/>
    <w:rsid w:val="00952C37"/>
    <w:rsid w:val="00952D8F"/>
    <w:rsid w:val="00954BCB"/>
    <w:rsid w:val="00955931"/>
    <w:rsid w:val="00957812"/>
    <w:rsid w:val="00960A0E"/>
    <w:rsid w:val="00961B32"/>
    <w:rsid w:val="00964561"/>
    <w:rsid w:val="00971683"/>
    <w:rsid w:val="009719D3"/>
    <w:rsid w:val="00972374"/>
    <w:rsid w:val="00972FD7"/>
    <w:rsid w:val="00974BB0"/>
    <w:rsid w:val="009766F7"/>
    <w:rsid w:val="009768D0"/>
    <w:rsid w:val="00977D04"/>
    <w:rsid w:val="00985804"/>
    <w:rsid w:val="0099493D"/>
    <w:rsid w:val="009949AC"/>
    <w:rsid w:val="0099791D"/>
    <w:rsid w:val="00997D5B"/>
    <w:rsid w:val="009A1EBF"/>
    <w:rsid w:val="009A4EE0"/>
    <w:rsid w:val="009A6E4F"/>
    <w:rsid w:val="009A7742"/>
    <w:rsid w:val="009B36EB"/>
    <w:rsid w:val="009B4F59"/>
    <w:rsid w:val="009B6186"/>
    <w:rsid w:val="009C1314"/>
    <w:rsid w:val="009C13C0"/>
    <w:rsid w:val="009C399C"/>
    <w:rsid w:val="009C3C20"/>
    <w:rsid w:val="009C4D5C"/>
    <w:rsid w:val="009C5263"/>
    <w:rsid w:val="009D0A28"/>
    <w:rsid w:val="009D20A0"/>
    <w:rsid w:val="009D265F"/>
    <w:rsid w:val="009D2751"/>
    <w:rsid w:val="009D5824"/>
    <w:rsid w:val="009D59F0"/>
    <w:rsid w:val="009E17E2"/>
    <w:rsid w:val="009E5B97"/>
    <w:rsid w:val="009F0198"/>
    <w:rsid w:val="009F3B54"/>
    <w:rsid w:val="009F75AB"/>
    <w:rsid w:val="009F7E6E"/>
    <w:rsid w:val="00A10F02"/>
    <w:rsid w:val="00A12228"/>
    <w:rsid w:val="00A1719A"/>
    <w:rsid w:val="00A2199E"/>
    <w:rsid w:val="00A222D2"/>
    <w:rsid w:val="00A22D71"/>
    <w:rsid w:val="00A23939"/>
    <w:rsid w:val="00A23FC3"/>
    <w:rsid w:val="00A262C3"/>
    <w:rsid w:val="00A32E45"/>
    <w:rsid w:val="00A35FAF"/>
    <w:rsid w:val="00A4177D"/>
    <w:rsid w:val="00A4298B"/>
    <w:rsid w:val="00A51490"/>
    <w:rsid w:val="00A51948"/>
    <w:rsid w:val="00A53724"/>
    <w:rsid w:val="00A55D93"/>
    <w:rsid w:val="00A56D31"/>
    <w:rsid w:val="00A61260"/>
    <w:rsid w:val="00A61FEF"/>
    <w:rsid w:val="00A62267"/>
    <w:rsid w:val="00A64C87"/>
    <w:rsid w:val="00A71735"/>
    <w:rsid w:val="00A77636"/>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2BD9"/>
    <w:rsid w:val="00AF3779"/>
    <w:rsid w:val="00AF4A8E"/>
    <w:rsid w:val="00AF4C5F"/>
    <w:rsid w:val="00AF78D5"/>
    <w:rsid w:val="00B03810"/>
    <w:rsid w:val="00B065EB"/>
    <w:rsid w:val="00B1063A"/>
    <w:rsid w:val="00B13F72"/>
    <w:rsid w:val="00B15449"/>
    <w:rsid w:val="00B209AC"/>
    <w:rsid w:val="00B22642"/>
    <w:rsid w:val="00B2369B"/>
    <w:rsid w:val="00B26B3F"/>
    <w:rsid w:val="00B33ED9"/>
    <w:rsid w:val="00B4119B"/>
    <w:rsid w:val="00B41851"/>
    <w:rsid w:val="00B41F92"/>
    <w:rsid w:val="00B42422"/>
    <w:rsid w:val="00B458C0"/>
    <w:rsid w:val="00B47A08"/>
    <w:rsid w:val="00B503D9"/>
    <w:rsid w:val="00B64258"/>
    <w:rsid w:val="00B648E1"/>
    <w:rsid w:val="00B6745D"/>
    <w:rsid w:val="00B72816"/>
    <w:rsid w:val="00B73C17"/>
    <w:rsid w:val="00B751EB"/>
    <w:rsid w:val="00B7625F"/>
    <w:rsid w:val="00B8569C"/>
    <w:rsid w:val="00B936A4"/>
    <w:rsid w:val="00B95035"/>
    <w:rsid w:val="00B9515E"/>
    <w:rsid w:val="00B967DC"/>
    <w:rsid w:val="00B9775D"/>
    <w:rsid w:val="00B9781E"/>
    <w:rsid w:val="00BA10CA"/>
    <w:rsid w:val="00BA15B0"/>
    <w:rsid w:val="00BA1F8B"/>
    <w:rsid w:val="00BA3B72"/>
    <w:rsid w:val="00BA6755"/>
    <w:rsid w:val="00BA7BA8"/>
    <w:rsid w:val="00BB1857"/>
    <w:rsid w:val="00BB188A"/>
    <w:rsid w:val="00BB5499"/>
    <w:rsid w:val="00BB59FF"/>
    <w:rsid w:val="00BB64A3"/>
    <w:rsid w:val="00BB6738"/>
    <w:rsid w:val="00BC17FE"/>
    <w:rsid w:val="00BC4E0C"/>
    <w:rsid w:val="00BC73D3"/>
    <w:rsid w:val="00BC7ABA"/>
    <w:rsid w:val="00BD5F05"/>
    <w:rsid w:val="00BE06C0"/>
    <w:rsid w:val="00BE6617"/>
    <w:rsid w:val="00BE77CE"/>
    <w:rsid w:val="00BE7F3D"/>
    <w:rsid w:val="00BF10A4"/>
    <w:rsid w:val="00BF2C4D"/>
    <w:rsid w:val="00BF5DDA"/>
    <w:rsid w:val="00BF79F1"/>
    <w:rsid w:val="00C0120E"/>
    <w:rsid w:val="00C03035"/>
    <w:rsid w:val="00C07243"/>
    <w:rsid w:val="00C156AF"/>
    <w:rsid w:val="00C15B5A"/>
    <w:rsid w:val="00C275BC"/>
    <w:rsid w:val="00C33079"/>
    <w:rsid w:val="00C365F1"/>
    <w:rsid w:val="00C37C9E"/>
    <w:rsid w:val="00C43B31"/>
    <w:rsid w:val="00C4631C"/>
    <w:rsid w:val="00C50536"/>
    <w:rsid w:val="00C545DF"/>
    <w:rsid w:val="00C548C8"/>
    <w:rsid w:val="00C55EB7"/>
    <w:rsid w:val="00C60208"/>
    <w:rsid w:val="00C805B8"/>
    <w:rsid w:val="00C83885"/>
    <w:rsid w:val="00C85FFB"/>
    <w:rsid w:val="00C866E9"/>
    <w:rsid w:val="00C93190"/>
    <w:rsid w:val="00CA276C"/>
    <w:rsid w:val="00CA3D0C"/>
    <w:rsid w:val="00CB3C00"/>
    <w:rsid w:val="00CB6651"/>
    <w:rsid w:val="00CB6887"/>
    <w:rsid w:val="00CC1D11"/>
    <w:rsid w:val="00CC1F8B"/>
    <w:rsid w:val="00CC2782"/>
    <w:rsid w:val="00CC2FEB"/>
    <w:rsid w:val="00CC64B4"/>
    <w:rsid w:val="00CC7E5D"/>
    <w:rsid w:val="00CD09EE"/>
    <w:rsid w:val="00CD41C2"/>
    <w:rsid w:val="00CD4C7B"/>
    <w:rsid w:val="00CD6529"/>
    <w:rsid w:val="00CE209B"/>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31E29"/>
    <w:rsid w:val="00D34A99"/>
    <w:rsid w:val="00D34F04"/>
    <w:rsid w:val="00D37B14"/>
    <w:rsid w:val="00D42780"/>
    <w:rsid w:val="00D435B1"/>
    <w:rsid w:val="00D45717"/>
    <w:rsid w:val="00D45D1F"/>
    <w:rsid w:val="00D470EA"/>
    <w:rsid w:val="00D51187"/>
    <w:rsid w:val="00D563CF"/>
    <w:rsid w:val="00D61459"/>
    <w:rsid w:val="00D6498C"/>
    <w:rsid w:val="00D66E3A"/>
    <w:rsid w:val="00D738D6"/>
    <w:rsid w:val="00D73D5E"/>
    <w:rsid w:val="00D764AE"/>
    <w:rsid w:val="00D80795"/>
    <w:rsid w:val="00D80BE8"/>
    <w:rsid w:val="00D82770"/>
    <w:rsid w:val="00D84A4E"/>
    <w:rsid w:val="00D85514"/>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4FCC"/>
    <w:rsid w:val="00DF2E7B"/>
    <w:rsid w:val="00DF3EFC"/>
    <w:rsid w:val="00E0084C"/>
    <w:rsid w:val="00E041C5"/>
    <w:rsid w:val="00E07838"/>
    <w:rsid w:val="00E137EB"/>
    <w:rsid w:val="00E27B9F"/>
    <w:rsid w:val="00E305A4"/>
    <w:rsid w:val="00E31284"/>
    <w:rsid w:val="00E340BC"/>
    <w:rsid w:val="00E37501"/>
    <w:rsid w:val="00E408E3"/>
    <w:rsid w:val="00E477A3"/>
    <w:rsid w:val="00E51135"/>
    <w:rsid w:val="00E51F8B"/>
    <w:rsid w:val="00E52E91"/>
    <w:rsid w:val="00E54C32"/>
    <w:rsid w:val="00E56448"/>
    <w:rsid w:val="00E62835"/>
    <w:rsid w:val="00E65A4E"/>
    <w:rsid w:val="00E67147"/>
    <w:rsid w:val="00E70688"/>
    <w:rsid w:val="00E77645"/>
    <w:rsid w:val="00E826F3"/>
    <w:rsid w:val="00E850C1"/>
    <w:rsid w:val="00E852FF"/>
    <w:rsid w:val="00E90ABE"/>
    <w:rsid w:val="00E93CA6"/>
    <w:rsid w:val="00EA0DB9"/>
    <w:rsid w:val="00EA17A5"/>
    <w:rsid w:val="00EA1D56"/>
    <w:rsid w:val="00EA22F8"/>
    <w:rsid w:val="00EB065D"/>
    <w:rsid w:val="00EB5ADE"/>
    <w:rsid w:val="00EC125A"/>
    <w:rsid w:val="00EC20E5"/>
    <w:rsid w:val="00EC4A25"/>
    <w:rsid w:val="00EC7411"/>
    <w:rsid w:val="00ED0443"/>
    <w:rsid w:val="00ED06A6"/>
    <w:rsid w:val="00ED0D91"/>
    <w:rsid w:val="00ED1751"/>
    <w:rsid w:val="00ED7F72"/>
    <w:rsid w:val="00EE022B"/>
    <w:rsid w:val="00EE0A1E"/>
    <w:rsid w:val="00EE1D74"/>
    <w:rsid w:val="00EE34A4"/>
    <w:rsid w:val="00EE4490"/>
    <w:rsid w:val="00EE7872"/>
    <w:rsid w:val="00EF2DFA"/>
    <w:rsid w:val="00F01BC8"/>
    <w:rsid w:val="00F025A2"/>
    <w:rsid w:val="00F0718F"/>
    <w:rsid w:val="00F10EA3"/>
    <w:rsid w:val="00F125B8"/>
    <w:rsid w:val="00F15260"/>
    <w:rsid w:val="00F15931"/>
    <w:rsid w:val="00F2026E"/>
    <w:rsid w:val="00F21221"/>
    <w:rsid w:val="00F2210A"/>
    <w:rsid w:val="00F33134"/>
    <w:rsid w:val="00F33F9F"/>
    <w:rsid w:val="00F35C58"/>
    <w:rsid w:val="00F37743"/>
    <w:rsid w:val="00F40CD3"/>
    <w:rsid w:val="00F463B5"/>
    <w:rsid w:val="00F503B7"/>
    <w:rsid w:val="00F50C7A"/>
    <w:rsid w:val="00F51625"/>
    <w:rsid w:val="00F54114"/>
    <w:rsid w:val="00F54A3D"/>
    <w:rsid w:val="00F569B1"/>
    <w:rsid w:val="00F57589"/>
    <w:rsid w:val="00F57CB2"/>
    <w:rsid w:val="00F64B5D"/>
    <w:rsid w:val="00F653B8"/>
    <w:rsid w:val="00F71331"/>
    <w:rsid w:val="00F7148E"/>
    <w:rsid w:val="00F76F8F"/>
    <w:rsid w:val="00F90887"/>
    <w:rsid w:val="00F95DDD"/>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E2BEB"/>
    <w:rsid w:val="00FF0D57"/>
    <w:rsid w:val="00FF1248"/>
    <w:rsid w:val="00FF4BAA"/>
    <w:rsid w:val="00FF75A6"/>
    <w:rsid w:val="00FF7BCD"/>
    <w:rsid w:val="02591753"/>
    <w:rsid w:val="06151FDE"/>
    <w:rsid w:val="10B67628"/>
    <w:rsid w:val="1F6839D0"/>
    <w:rsid w:val="1F6E6BD1"/>
    <w:rsid w:val="249F0C6A"/>
    <w:rsid w:val="25BA5973"/>
    <w:rsid w:val="2635403B"/>
    <w:rsid w:val="27110262"/>
    <w:rsid w:val="2C216DCB"/>
    <w:rsid w:val="2DE20BDA"/>
    <w:rsid w:val="300A7407"/>
    <w:rsid w:val="311F12DD"/>
    <w:rsid w:val="3AA06FEA"/>
    <w:rsid w:val="432F1268"/>
    <w:rsid w:val="464F61F0"/>
    <w:rsid w:val="47F70B32"/>
    <w:rsid w:val="49086045"/>
    <w:rsid w:val="4D587781"/>
    <w:rsid w:val="503871E9"/>
    <w:rsid w:val="53AD73D7"/>
    <w:rsid w:val="53E915AA"/>
    <w:rsid w:val="56EF1EEF"/>
    <w:rsid w:val="591945BB"/>
    <w:rsid w:val="5DCD1194"/>
    <w:rsid w:val="5E575FF9"/>
    <w:rsid w:val="6064045A"/>
    <w:rsid w:val="64EA67E7"/>
    <w:rsid w:val="681C0E0C"/>
    <w:rsid w:val="68D77510"/>
    <w:rsid w:val="6CC54282"/>
    <w:rsid w:val="6CDD4039"/>
    <w:rsid w:val="73CA4B88"/>
    <w:rsid w:val="77FA0650"/>
    <w:rsid w:val="7E446E3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129"/>
    <w:qFormat/>
    <w:uiPriority w:val="9"/>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7"/>
    <w:qFormat/>
    <w:uiPriority w:val="0"/>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等线"/>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宋体"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宋体"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9"/>
    <w:rPr>
      <w:rFonts w:ascii="Arial" w:hAnsi="Arial"/>
      <w:sz w:val="28"/>
      <w:lang w:val="en-GB" w:eastAsia="en-US"/>
    </w:rPr>
  </w:style>
  <w:style w:type="character" w:customStyle="1" w:styleId="130">
    <w:name w:val="Heading 4 Char"/>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2">
    <w:name w:val="List Paragraph4"/>
    <w:basedOn w:val="1"/>
    <w:qFormat/>
    <w:uiPriority w:val="0"/>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163">
    <w:name w:val="Editor.s Note"/>
    <w:basedOn w:val="72"/>
    <w:link w:val="164"/>
    <w:qFormat/>
    <w:uiPriority w:val="0"/>
    <w:pPr>
      <w:overflowPunct w:val="0"/>
      <w:autoSpaceDE w:val="0"/>
      <w:autoSpaceDN w:val="0"/>
      <w:adjustRightInd w:val="0"/>
      <w:ind w:left="1559" w:hanging="1276"/>
      <w:textAlignment w:val="baseline"/>
    </w:pPr>
    <w:rPr>
      <w:rFonts w:eastAsiaTheme="minorEastAsia"/>
      <w:lang w:eastAsia="en-GB"/>
    </w:rPr>
  </w:style>
  <w:style w:type="character" w:customStyle="1" w:styleId="164">
    <w:name w:val="Editor.s Note Char"/>
    <w:basedOn w:val="47"/>
    <w:link w:val="163"/>
    <w:qFormat/>
    <w:uiPriority w:val="0"/>
    <w:rPr>
      <w:rFonts w:eastAsiaTheme="minorEastAsia"/>
      <w:color w:val="FF0000"/>
      <w:lang w:val="en-GB" w:eastAsia="en-GB"/>
    </w:rPr>
  </w:style>
  <w:style w:type="paragraph" w:customStyle="1" w:styleId="165">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table" w:customStyle="1" w:styleId="166">
    <w:name w:val="Table Normal"/>
    <w:basedOn w:val="45"/>
    <w:semiHidden/>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3.vsdx"/><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oleObject" Target="embeddings/Microsoft_Visio_2003-2010___1.vsd"/><Relationship Id="rId4" Type="http://schemas.openxmlformats.org/officeDocument/2006/relationships/theme" Target="theme/theme1.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7.emf"/><Relationship Id="rId17" Type="http://schemas.openxmlformats.org/officeDocument/2006/relationships/package" Target="embeddings/Microsoft_Visio___4.vsdx"/><Relationship Id="rId16" Type="http://schemas.openxmlformats.org/officeDocument/2006/relationships/image" Target="media/image6.emf"/><Relationship Id="rId15" Type="http://schemas.openxmlformats.org/officeDocument/2006/relationships/oleObject" Target="embeddings/oleObject3.bin"/><Relationship Id="rId14" Type="http://schemas.openxmlformats.org/officeDocument/2006/relationships/image" Target="media/image5.emf"/><Relationship Id="rId13" Type="http://schemas.openxmlformats.org/officeDocument/2006/relationships/oleObject" Target="embeddings/oleObject2.bin"/><Relationship Id="rId12" Type="http://schemas.openxmlformats.org/officeDocument/2006/relationships/image" Target="media/image4.emf"/><Relationship Id="rId11" Type="http://schemas.openxmlformats.org/officeDocument/2006/relationships/oleObject" Target="embeddings/oleObject1.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10</Pages>
  <Words>2770</Words>
  <Characters>14340</Characters>
  <Lines>123</Lines>
  <Paragraphs>34</Paragraphs>
  <TotalTime>3</TotalTime>
  <ScaleCrop>false</ScaleCrop>
  <LinksUpToDate>false</LinksUpToDate>
  <CharactersWithSpaces>16981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2025-02-07T01:55:00Z</dcterms:created>
  <dc:creator>Xiaomi-Lisi</dc:creator>
  <cp:lastModifiedBy>Lisa</cp:lastModifiedBy>
  <dcterms:modified xsi:type="dcterms:W3CDTF">2025-03-28T05:35:38Z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2052-12.1.0.19770</vt:lpwstr>
  </property>
  <property fmtid="{D5CDD505-2E9C-101B-9397-08002B2CF9AE}" pid="6" name="ICV">
    <vt:lpwstr>CC9AB18928F547E4AD1F275752A90994_13</vt:lpwstr>
  </property>
</Properties>
</file>